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b/>
          <w:bCs/>
          <w:i w:val="0"/>
          <w:caps w:val="0"/>
          <w:color w:val="3C464F"/>
          <w:spacing w:val="0"/>
          <w:sz w:val="28"/>
          <w:szCs w:val="28"/>
          <w:shd w:val="clear" w:fill="FFFFFF"/>
        </w:rPr>
      </w:pPr>
      <w:r>
        <w:rPr>
          <w:rFonts w:hint="eastAsia" w:ascii="宋体" w:hAnsi="宋体" w:eastAsia="宋体" w:cs="宋体"/>
          <w:b/>
          <w:bCs/>
          <w:i w:val="0"/>
          <w:caps w:val="0"/>
          <w:color w:val="3C464F"/>
          <w:spacing w:val="0"/>
          <w:sz w:val="28"/>
          <w:szCs w:val="28"/>
          <w:shd w:val="clear" w:fill="FFFFFF"/>
        </w:rPr>
        <w:t>2020年0725公务员多省联考《申论》题（福建</w:t>
      </w:r>
      <w:r>
        <w:rPr>
          <w:rFonts w:hint="eastAsia" w:ascii="宋体" w:hAnsi="宋体" w:cs="宋体"/>
          <w:b/>
          <w:bCs/>
          <w:i w:val="0"/>
          <w:caps w:val="0"/>
          <w:color w:val="3C464F"/>
          <w:spacing w:val="0"/>
          <w:sz w:val="28"/>
          <w:szCs w:val="28"/>
          <w:shd w:val="clear" w:fill="FFFFFF"/>
          <w:lang w:val="en-US" w:eastAsia="zh-CN"/>
        </w:rPr>
        <w:t>县级</w:t>
      </w:r>
      <w:r>
        <w:rPr>
          <w:rFonts w:hint="eastAsia" w:ascii="宋体" w:hAnsi="宋体" w:eastAsia="宋体" w:cs="宋体"/>
          <w:b/>
          <w:bCs/>
          <w:i w:val="0"/>
          <w:caps w:val="0"/>
          <w:color w:val="3C464F"/>
          <w:spacing w:val="0"/>
          <w:sz w:val="28"/>
          <w:szCs w:val="28"/>
          <w:shd w:val="clear" w:fill="FFFFFF"/>
        </w:rPr>
        <w:t>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333333"/>
          <w:spacing w:val="0"/>
          <w:sz w:val="21"/>
          <w:szCs w:val="21"/>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1.本题本由给定资料与作答要求两部分构成。考试时限为1</w:t>
      </w:r>
      <w:r>
        <w:rPr>
          <w:rFonts w:hint="eastAsia" w:ascii="楷体" w:hAnsi="楷体" w:eastAsia="楷体" w:cs="楷体"/>
          <w:b w:val="0"/>
          <w:bCs/>
          <w:i w:val="0"/>
          <w:caps w:val="0"/>
          <w:color w:val="333333"/>
          <w:spacing w:val="0"/>
          <w:sz w:val="21"/>
          <w:szCs w:val="21"/>
          <w:shd w:val="clear" w:fill="FFFFFF"/>
          <w:lang w:val="en-US" w:eastAsia="zh-CN"/>
        </w:rPr>
        <w:t>5</w:t>
      </w:r>
      <w:r>
        <w:rPr>
          <w:rFonts w:hint="eastAsia" w:ascii="楷体" w:hAnsi="楷体" w:eastAsia="楷体" w:cs="楷体"/>
          <w:b w:val="0"/>
          <w:bCs/>
          <w:i w:val="0"/>
          <w:caps w:val="0"/>
          <w:color w:val="333333"/>
          <w:spacing w:val="0"/>
          <w:sz w:val="21"/>
          <w:szCs w:val="21"/>
          <w:shd w:val="clear" w:fill="FFFFFF"/>
        </w:rPr>
        <w:t>0分钟。其中，阅读给定资料参考时限为50分钟，作答参考时限为</w:t>
      </w:r>
      <w:r>
        <w:rPr>
          <w:rFonts w:hint="eastAsia" w:ascii="楷体" w:hAnsi="楷体" w:eastAsia="楷体" w:cs="楷体"/>
          <w:b w:val="0"/>
          <w:bCs/>
          <w:i w:val="0"/>
          <w:caps w:val="0"/>
          <w:color w:val="333333"/>
          <w:spacing w:val="0"/>
          <w:sz w:val="21"/>
          <w:szCs w:val="21"/>
          <w:shd w:val="clear" w:fill="FFFFFF"/>
          <w:lang w:val="en-US" w:eastAsia="zh-CN"/>
        </w:rPr>
        <w:t>10</w:t>
      </w:r>
      <w:r>
        <w:rPr>
          <w:rFonts w:hint="eastAsia" w:ascii="楷体" w:hAnsi="楷体" w:eastAsia="楷体" w:cs="楷体"/>
          <w:b w:val="0"/>
          <w:bCs/>
          <w:i w:val="0"/>
          <w:caps w:val="0"/>
          <w:color w:val="333333"/>
          <w:spacing w:val="0"/>
          <w:sz w:val="21"/>
          <w:szCs w:val="21"/>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333333"/>
          <w:spacing w:val="0"/>
          <w:sz w:val="21"/>
          <w:szCs w:val="21"/>
        </w:rPr>
      </w:pPr>
      <w:r>
        <w:rPr>
          <w:rFonts w:hint="eastAsia" w:ascii="楷体" w:hAnsi="楷体" w:eastAsia="楷体" w:cs="楷体"/>
          <w:b w:val="0"/>
          <w:bCs/>
          <w:i w:val="0"/>
          <w:caps w:val="0"/>
          <w:color w:val="333333"/>
          <w:spacing w:val="0"/>
          <w:sz w:val="21"/>
          <w:szCs w:val="21"/>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rPr>
      </w:pPr>
      <w:r>
        <w:rPr>
          <w:rFonts w:hint="eastAsia" w:ascii="宋体" w:hAnsi="宋体" w:eastAsia="宋体" w:cs="宋体"/>
          <w:b/>
          <w:bCs/>
          <w:i w:val="0"/>
          <w:caps w:val="0"/>
          <w:color w:val="333333"/>
          <w:spacing w:val="0"/>
          <w:sz w:val="21"/>
          <w:szCs w:val="21"/>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26床的小框目前是橙色的，代表着滴速过慢，需要立即处理。”见状，护士小杨立即调整了流速，小框很快变成了绿色，流速恢复了正常。“滴、滴、滴”，小杨随身携带的智能挂表又响了起来，“哦，11床有情况”，小杨从容地前去处理……“唉呀，现在方便多了。以前挂号、门诊就诊、检查室分诊台预约就诊、排队等候检查……做个检查很麻烦。今天，我用‘掌上医院’APP提前预约了生化全套和心电图，省心省力，速度特别快。”前来看病的黄阿姨介绍道。原来，K镇卫生院在县人民医院的帮助下，建立起了“智慧医疗系统”，居民足不出门就能完成预约挂号、在线询医问诊等操作，实现了就医全过程的智能化，极大方便了居民就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我有点胖，要多到公园里的智慧健身长廊走一走，用健身器材锻炼锻炼，这样身体才能更健康。”K镇居民老夏说，“这个智慧健身长廊很‘洋气’，会‘说话’能‘计数’，还能根据年龄、性别以及身体状况推荐合适的健身器材，神奇得很。”为推进全民健身运动，用智慧体育赋能健康生活，K镇试点在部分公园里安装了一些智慧体育器材，如智能太空漫步机、腹部训练机、智能扭腰器、智能转盘等等。每个设备都配有太阳能遮阳棚，还有专属的二维码和显示屏，并铺装了防水防滑地胶，居民健身不仅不会被日晒雨淋，还可以查看自己的运动数据，累了还可以听歌放松。“我们就是要以人为本，让居民享受到运动的快乐，进而热爱健身。”K镇党委赵书记说，“现代人的健康，绝不仅仅限于没有疾病伤痛，更要增强体质。我相信没有全面健康，就没有全民小康。”</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一机在手，养老无忧。”这是K镇智慧养老服务中心的宗旨。“叮铃铃……”K镇智慧养老服务中心的电话铃声响起。“我感觉很不舒服，咳得厉害。”打电话的徐奶奶因冠心病合并肺部感染急需救助。通过该中心的“智慧养老”平台，自动定位、问询，联络医院、救援人员、家属，这一系列救助工作可以在几分钟内同步展开。徐奶奶被迅速送到了医院，经抢救稳住了病情。如今，像她这样享受智慧养老服务的老人，在K镇越来越多。近年来，K镇致力于打通养老服务的“最后一公里”，为老年人提供“触手可及”的智能化服务。只需按下专用手机上的紧急求助键，就可获得紧急救援；通过互联网点单，“助老员”可以上门为老人服务。对于居住地较为偏远的独居老人，K镇则采取了邻里互助的助老服务模式。“助老员”一般由居住在老人家附近的青壮年担任，一旦出现紧急情况就立即启动紧急救援，让这些特殊的老人享受到居家养老服务带来的安全和便利。此外，家住K镇东来社区的唐大爷最近常去本社区居家养老服务驿站的健康检查室。因为驿站最近添加了一台医疗一体机测试仪，让他能实时了解自己的身体状况。像唐大爷这样经常来检查室“报到”的老人们的健康数据信息，在征得老人们同意后，已被上传至K镇智慧养老服务中心及各医院共享。据统计，因数据反馈完整和医护人员抢救及时，仅今年上半年，K镇就有数十位老人的病情得到了有效的控制。</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rPr>
      </w:pPr>
      <w:r>
        <w:rPr>
          <w:rFonts w:hint="eastAsia" w:ascii="宋体" w:hAnsi="宋体" w:eastAsia="宋体" w:cs="宋体"/>
          <w:b/>
          <w:bCs/>
          <w:i w:val="0"/>
          <w:caps w:val="0"/>
          <w:color w:val="333333"/>
          <w:spacing w:val="0"/>
          <w:sz w:val="21"/>
          <w:szCs w:val="21"/>
          <w:shd w:val="clear" w:fill="FFFFFF"/>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近年来，因为萌萌的体态、超高的颜值、诗意的名字，多肉植物俘获了大众的“芳心”，市场的需求迅速增大。多肉植物之所以能成为产业，电商功不可没。“我们必须要更加适应‘互联网+’这种新业态。”G县商务部门的一位负责人说，“以前我们一般认为，因为植物单株价格低、运输易造成损毁、运费高昂等原因，包括多肉植物在内的花卉业不太适合电商模式，但数据告诉我们这种想法其实不对。”G县多肉产业主要集中在景天科多肉，品种较单一。“大家都卖桃蛋这一个品种，就相互踩价。现在我们这儿的桃蛋已经降到8毛钱一株了，可还是看的人多，买的人少，这可怎么办哟？”说到销售，多肉种植大户老王一筹莫展；G县多肉植物滞销率约为40%，而多肉的销售旺季主要在春秋两季。以前花农们通过降价促销基本能全部出货，但现在这个策略似乎失效了。“有的种植户只是‘抓一把、赶紧跑’，只想快点回本赚钱，我们G县多肉的招牌怎么能打响哟？”老王嘟囔着。</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我们是‘多肉大县’，却不能算‘多肉强县’。”G县多肉协会副会长老叶强调，“国内标准化要求不高，主要依靠品相吸引消费者，因此精致、小巧、色彩艳丽是多肉生产的目标。我们县由于小农户型生产者居多，产品区域差异明显，品相参差不齐，规格难以统一。”</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其实我们G县的土壤和气候是适合大部分多肉植物的。”一位园艺专家在一次花博会上对记者说道，“目前，我们县的多肉种植是以小农户为主，真正企业化生产的极少。而且即使是企业化生产，也是往往在某一个品种的量上面下功夫。一旦市场饱和，恐怕他们也难以应对。此外，我们的多肉种植起步不算晚，但整个花卉产业基础薄弱，相当一部分个体种植户缺乏经验，不知道在水土上做文章、在病虫害防治等方面多下功夫。吃到盲目扩建的亏后，要么改种其他花植，要么干脆迁居外县另起炉灶。”</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rPr>
      </w:pPr>
      <w:r>
        <w:rPr>
          <w:rFonts w:hint="eastAsia" w:ascii="宋体" w:hAnsi="宋体" w:eastAsia="宋体" w:cs="宋体"/>
          <w:b/>
          <w:bCs/>
          <w:i w:val="0"/>
          <w:caps w:val="0"/>
          <w:color w:val="333333"/>
          <w:spacing w:val="0"/>
          <w:sz w:val="21"/>
          <w:szCs w:val="21"/>
          <w:shd w:val="clear" w:fill="FFFFFF"/>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近年来，秉持着“绿水青山就是金山银山”的发展理念，G县以多肉植物种植为龙头，大力发展生态经济，不仅让小城变美了，也让百姓的腰包鼓起来了，一跃成为国内知名的“多肉强县”,还被评为全国最具魅力旅游特色小城之一。它是如何打赢这场“翻身仗”的呢？</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G县看准多肉植物消费趋旺的态势，先行一步、快人一招，在市委、市政府的指导下，高位谋划、全面升级，开始以多肉植物为核心元素打造“多肉强县”。G县以多肉植物培植园为依托，将多肉植物的“触角”深入12个乡镇，在每个乡镇都建设一个多肉植物种植点，构建“一镇一品”“多肉拓植”新格局，让多肉植物产业扎根于民、赋利于民。目前，G县多肉植物种植面积已达50000亩，种类丰富，品相俱佳，畅销全国，年产值近20亿元，成为了名副其实的“多肉强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小谭是G县多肉种植的领军人物，他在本县开始发展多肉产业时就作出准确判断：多肉植物并不算稀缺，入行门槛低，种植成本小，而且往往是去年种，今年就能见效果。所以主要拼的不是产量，而是产业链和产品质量。G县多肉产业发展必须在走精品化道路的同时进一步延伸产业链。精品的多肉并不一定是指它的品种有多好，而是需要将多肉状态打理得比较好，提升产品附加值。同时，客户种植多肉一般需要专门的土壤、造型别致的盆器以及数种花肥。在多肉爱好者圈里有一句著名的自我调侃：我买的土比肉费，盆比土贵，肥比盆贵。经过充分的调研，G县决定从2019年起，以打造多肉产业“一镇一品”为契机，进一步整合配置多肉产业资源，明确全县各乡镇在多肉产业的专攻领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我们镇就是专门负责烧制最近十分火爆的爆裂盆的。”小斐拿起一个制作精良、造型古拙的爆裂盆，“这么一个小盆能卖到将近20元呢。比一般的多肉花盆贵了将近2倍。”她继续介绍着：“由于客户在网上选购多肉时，一般都希望肉、土、盆、肥一口气置办齐全，以‘XX元包邮’买到手。我们就加入了县里面向电商客户推出的‘多肉+花盆+专用土+花肥’的套餐计划，不仅不用为包装费、运费操心，还能分红，连带着自家的其他订单都能享受快递费优惠，这既能抱团取暖，也能单打独斗啊。”</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多肉小植物，产业大文章。为了促进产业良性发展，G县从源头抓起，让多肉生产更加趋向于标准化、工厂化，使得多肉植物产品丰富多样。“只要是我们卖出去的多肉，不管是普通品种还是稀有品种，都是高品质的。”小谭不无骄傲地说道。他还带领着村民将自己学的园林设计融入到多肉种植中，通过不同多肉搭配设计出了多种造型别致、创意十足的盆景，提高了多肉附加值。而就在今年，小谭不仅被评为“市级农村实用人才”，还成功申请到了省级研究课题——X地区屋顶绿化与多肉植物应用研究，这让G县种植户们更受鼓舞。</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去年的多肉市场异常火爆，我们的销量非常好，多亏了这笔贷款支持啊。”种植户老江激动地说道，“我们种植多肉啊，不仅有低利息贷款，他们还专门为我们推出了‘整贷零还’业务，这让我们的压力小了不少。”</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G县还有一个“秘密武器”就是电商。G县人不仅会种多肉，更会卖多肉。2月，正是多肉快速生长的时期，受新冠肺炎疫情影响，今年的花卉销售受阻。G县通过邀请网络平台网红主播带货，开辟线上销售渠道，大大降低了损失。“盆栽多肉线上销售的比重明显提升，尤其是直播销售这一模式，已达到了一定规模，我们一天的营业额在三万元左右。”种植户大华介绍道。G县还多次组织邀请市农科院专家对大棚种植进行指导，解决多肉产业发展中的技术难题。同时积极对接市电商服务中心，组织线上销售培训，拓宽销售渠道，帮助种植户解决销售难题，为产业的可持续发展保驾护航。有了政府的大力支持，多肉种植户们越发坚定了发展的信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小小的多肉植物在为农民带来收益的同时，也催生了G县旅游产业的萌芽，吸引了不少多肉植物爱好者专程到G县观赏、购买多肉植物。G县顺势而为，以建设森林公园、田园综合体等旅游元素为重点，着力打造生态、美丽、宜居的“旅游小城”品牌。同时大力发展休闲观光旅游，建有多肉主题咖啡馆、多肉植物科普区、多肉DIY体验区、儿童游乐区和多肉展销区等配套设施。</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333333"/>
          <w:spacing w:val="0"/>
          <w:sz w:val="21"/>
          <w:szCs w:val="21"/>
        </w:rPr>
      </w:pPr>
      <w:r>
        <w:rPr>
          <w:rFonts w:hint="eastAsia" w:ascii="宋体" w:hAnsi="宋体" w:eastAsia="宋体" w:cs="宋体"/>
          <w:b/>
          <w:bCs/>
          <w:i w:val="0"/>
          <w:caps w:val="0"/>
          <w:color w:val="333333"/>
          <w:spacing w:val="0"/>
          <w:sz w:val="21"/>
          <w:szCs w:val="21"/>
          <w:shd w:val="clear" w:fill="FFFFFF"/>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退休教师老马是单车骑行爱好者，在F市的街道上，经常能看到他骑车的身影。最初他骑车是为了看风景，但自从5年前他有了一个新的身份——“社区人居环境整治义务督查员”后，他就会在骑行时随身带上相机和小本子，既看景也看垃圾，看到哪里有垃圾，就拍下照片，并用小本子记下发现垃圾的具体地址，再反馈给相关街道处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F市是K省省会下辖的县级市，F市的社区人居环境在以前并不好，“垃圾靠风刮，污水靠蒸发；房里现代化，屋外脏乱差。”这是当地人对当时社区人居环境的评价，也是老马刚开始担任督查员时，他的相机和小本子所记录的景象。</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以前，房前屋后、路边、河边，都能看到垃圾，一到夏天气味难闻。从去年开始，市里搞垃圾分类，还有污水治理，现在环境比以前好多了。”谈起这些年来的变化，74岁的老周打开了话匣子：“垃圾清运、分类，公厕改造，污水处理，这些都由政府投入，老百姓不用掏一分钱。我现在知道家里的垃圾需要分开装，像菜叶子、剩饭属于可以腐烂的垃圾，像塑料袋属于不可腐烂的垃圾。”老周家门口，有一绿一黄两个小型垃圾桶，分别写着“可腐烂垃圾”和“不可腐烂垃圾”，他觉得社区垃圾的家庭初分，既简单又方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现在，F市各居民小区都设有垃圾分类收集亭，摆放着四种不同颜色的240升标准垃圾分类桶，分别收纳可腐烂、可回收、有害和其他等四类生活垃圾。亭内设有图文并茂的垃圾分类科普宣传画，还有受过培训的保洁员、垃圾分类指导员、废品回收员的姓名和联系方式。</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垃圾分类不是目的,最终是要实现垃圾的无害化处置和资源化利用。”F市农环办韩主任告诉记者，目前F市农村共开挖了205处堆肥垄，像菜叶、瓜皮、树叶等可腐烂垃圾就在此消化堆肥。除了堆肥利用外，F市还对可回收物做到应收尽收，鼓励各乡镇(街道)成立废品回收网点，印制便民服务卡，建立回收台账。同时，F市对有害垃圾进行了无害处置，通过收集、中转后，由专业公司集中运送至有害垃圾处置厂，实行集中无害化处置。2017年9月起，F市停止了生活垃圾填埋的处置方式，利用当地水泥公司的水泥窑高温煅烧，实现了其他类生活垃圾处置的减量化和无害化。</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社区垃圾治理，政府要舍得投入。”韩主任说。2017年F市财政投入1200万元专项资金用于社区环境治理，通过政府性投资项目安排3000万元专项资金用于全域垃圾治理；安排2000万元专项资金用于社区生活垃圾分类。同时，K省省会每年给予一定的资金补助，各乡镇（街道）也设立了专项经费。2019年，F市财政投入用于环境治理的经费达8200万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韩主任表示，近年来，政府修订制定了《F市推进社区生活垃圾分类减量化处理和资源化利用工作实施意见》《F市社区生活垃圾治理和环境整治考核奖惩办法》《F市社区生活垃圾全域治理巡查管理办法》等各项工作制度，坚持双月检查考评机制，通过严格考评，兑现奖惩，促进了全市社区生活垃圾治理工作始终保持在高质状态。截至2019年5月，共有13家保洁公司承担着全市17个乡镇（街道）的环卫作业服务，配备了保洁员2514名；全市160个村（居）实现垃圾分类试点全覆盖，已有524个自然村落实了垃圾分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333333"/>
          <w:spacing w:val="0"/>
          <w:sz w:val="21"/>
          <w:szCs w:val="21"/>
          <w:shd w:val="clear" w:fill="FFFFFF"/>
        </w:rPr>
      </w:pPr>
      <w:r>
        <w:rPr>
          <w:rFonts w:hint="eastAsia" w:ascii="宋体" w:hAnsi="宋体" w:eastAsia="宋体" w:cs="宋体"/>
          <w:i w:val="0"/>
          <w:caps w:val="0"/>
          <w:color w:val="333333"/>
          <w:spacing w:val="0"/>
          <w:sz w:val="21"/>
          <w:szCs w:val="21"/>
          <w:shd w:val="clear" w:fill="FFFFFF"/>
        </w:rPr>
        <w:t>老马的照片和小本子清楚地反映了F市社区人居环境的改变：最初骑行一小时能记录十几处卫生死角，而现在常常几个小时也发现不了一处。老马义务督查员的身份也面临着“退休”的风险。他高兴地告诉记者，“F市社区的环境越来越好，现在不仔细去找，很难看到卫生死角了。社区生活垃圾治理长效化、常态化、规范化，社区生态环境改善了，群众生活质量提高了，环境面貌明显改观，生活生态质量明显提升。”</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333333"/>
          <w:spacing w:val="0"/>
          <w:sz w:val="21"/>
          <w:szCs w:val="21"/>
          <w:lang w:val="en-US" w:eastAsia="zh-CN"/>
        </w:rPr>
      </w:pPr>
      <w:r>
        <w:rPr>
          <w:rFonts w:hint="eastAsia" w:ascii="宋体" w:hAnsi="宋体" w:cs="宋体"/>
          <w:b/>
          <w:bCs/>
          <w:i w:val="0"/>
          <w:caps w:val="0"/>
          <w:color w:val="333333"/>
          <w:spacing w:val="0"/>
          <w:sz w:val="21"/>
          <w:szCs w:val="21"/>
          <w:lang w:val="en-US" w:eastAsia="zh-CN"/>
        </w:rPr>
        <w:t>材料5</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333333"/>
          <w:spacing w:val="0"/>
          <w:sz w:val="21"/>
          <w:szCs w:val="21"/>
          <w:lang w:val="en-US" w:eastAsia="zh-CN"/>
        </w:rPr>
      </w:pPr>
      <w:r>
        <w:rPr>
          <w:rFonts w:hint="default" w:ascii="宋体" w:hAnsi="宋体" w:cs="宋体"/>
          <w:b w:val="0"/>
          <w:bCs w:val="0"/>
          <w:i w:val="0"/>
          <w:caps w:val="0"/>
          <w:color w:val="333333"/>
          <w:spacing w:val="0"/>
          <w:sz w:val="21"/>
          <w:szCs w:val="21"/>
          <w:lang w:val="en-US" w:eastAsia="zh-CN"/>
        </w:rPr>
        <w:t>“党的十九大报告提出，要打造共建共治共享的社会治理格局，加强社区治理体系建设，实现政府治理和社会调节、居民自治良性互动。这一阐述，真的是说到了我这个社区居委会主任的心坎上。”Q市N区花园街道南湖社区居委会余主任对记者说起十九大报告，心情激动。对余主任而言，传统行政式的社区管理方式，曾让她疲于奔命还难有效果。“曾经一年时间里收到群众诉求1600件次，这让社区工作更加难做。”据余主任介绍，南湖社区紧邻商圈，辖区有企业300余家，居民住宅楼81栋，居民6260户，人口24664人，流动人口一万余人。曾经的南湖社区，存在城市建筑陈旧、商贸门面混乱、居民房屋老旧、道路交通拥堵、活动场地有限、流动人口复杂等突出问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333333"/>
          <w:spacing w:val="0"/>
          <w:sz w:val="21"/>
          <w:szCs w:val="21"/>
          <w:lang w:val="en-US" w:eastAsia="zh-CN"/>
        </w:rPr>
      </w:pPr>
      <w:r>
        <w:rPr>
          <w:rFonts w:hint="default" w:ascii="宋体" w:hAnsi="宋体" w:cs="宋体"/>
          <w:b w:val="0"/>
          <w:bCs w:val="0"/>
          <w:i w:val="0"/>
          <w:caps w:val="0"/>
          <w:color w:val="333333"/>
          <w:spacing w:val="0"/>
          <w:sz w:val="21"/>
          <w:szCs w:val="21"/>
          <w:lang w:val="en-US" w:eastAsia="zh-CN"/>
        </w:rPr>
        <w:t>N区作为主城核心区，肩负着老城区更新和社区开发的双重职责，加上80万常住人口中有30万农转非安置人口和进城农民工，还有近30万流动人口，新老市民的融合和服务，成为党委、政府面临的重要任务和挑战。古楼湾片区有55栋20世纪80年代的老建筑，分属古楼湾和华大亭两个社区，周围被四条主干道包围，没有围墙。社区人员流动大，管理难度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333333"/>
          <w:spacing w:val="0"/>
          <w:sz w:val="21"/>
          <w:szCs w:val="21"/>
          <w:lang w:val="en-US" w:eastAsia="zh-CN"/>
        </w:rPr>
      </w:pPr>
      <w:r>
        <w:rPr>
          <w:rFonts w:hint="default" w:ascii="宋体" w:hAnsi="宋体" w:cs="宋体"/>
          <w:b w:val="0"/>
          <w:bCs w:val="0"/>
          <w:i w:val="0"/>
          <w:caps w:val="0"/>
          <w:color w:val="333333"/>
          <w:spacing w:val="0"/>
          <w:sz w:val="21"/>
          <w:szCs w:val="21"/>
          <w:lang w:val="en-US" w:eastAsia="zh-CN"/>
        </w:rPr>
        <w:t>N区花园街道党工委李书记说：“只强调加大投入和权利赋予，没有相应的责任共担和公平的投入机制，政府投入再多，群众满意度也不会随之提高；只强调自上而下的精细管理，没有自下而上的广泛参与，政府管得再细，群众认同感也不会随之上升；只强调旧城改造和新区开发，没有把群众组织起来同步推进社会建设，城市发展再快，面临的矛盾和问题也不会随之减少。”N区发现，来自基层社区的有效治理方法都有一个共同的特点，就是该由政府办的公共事务，要全力办好；该由社区处理的事，要在自治的前提下，依法办得让群众满意；属于社区居民自己家的私事，由社区引导，主要由私人办好。</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333333"/>
          <w:spacing w:val="0"/>
          <w:sz w:val="21"/>
          <w:szCs w:val="21"/>
          <w:lang w:val="en-US" w:eastAsia="zh-CN"/>
        </w:rPr>
      </w:pPr>
      <w:r>
        <w:rPr>
          <w:rFonts w:hint="default" w:ascii="宋体" w:hAnsi="宋体" w:cs="宋体"/>
          <w:b w:val="0"/>
          <w:bCs w:val="0"/>
          <w:i w:val="0"/>
          <w:caps w:val="0"/>
          <w:color w:val="333333"/>
          <w:spacing w:val="0"/>
          <w:sz w:val="21"/>
          <w:szCs w:val="21"/>
          <w:lang w:val="en-US" w:eastAsia="zh-CN"/>
        </w:rPr>
        <w:t>2017年，为了培养群众自治意识，N区在总结基层社区治理探索创新的基础上，提出了社区治理“三事分流”工作法，其主要创新点是建立了一套科学划分“三事”，明确各自权责的机制。“大事”是政府管理事项及公共服务，由政府部门负责解决；“小事”是村（居）公共事项及公益服务，由村（居）委员为主导，社区自治组织，社区社会组织和社区单位共同协商解决，“私事”是村（居）民个人事务，由群众自行解决或寻求市场服务。为保证“大事”和“小事”等公事能够办好，区里还建立起由政府资助为引导、社会捐赠为主题、居民出资为补充的社区公益事业发展基金会。目前已接受捐赠3300多万元。这一基金会成立3年多以来，已直接投入1700多万元，整合社会资源4000多万元，持续推进社区公益活动和自治项目800多个。</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333333"/>
          <w:spacing w:val="0"/>
          <w:sz w:val="21"/>
          <w:szCs w:val="21"/>
          <w:lang w:val="en-US" w:eastAsia="zh-CN"/>
        </w:rPr>
      </w:pPr>
      <w:r>
        <w:rPr>
          <w:rFonts w:hint="default" w:ascii="宋体" w:hAnsi="宋体" w:cs="宋体"/>
          <w:b w:val="0"/>
          <w:bCs w:val="0"/>
          <w:i w:val="0"/>
          <w:caps w:val="0"/>
          <w:color w:val="333333"/>
          <w:spacing w:val="0"/>
          <w:sz w:val="21"/>
          <w:szCs w:val="21"/>
          <w:lang w:val="en-US" w:eastAsia="zh-CN"/>
        </w:rPr>
        <w:t>古楼湾社区的九龙花园是一个老旧小区，基础设施落后，200余户居民来自四面八方，生活习性不一，加上长期无物业管理，小区内污水横流，垃圾乱堆，群众怨声载道。街道社区管得越多矛盾似乎越多，管得越细群众意见反而越大，这是N区近年来基层社会治理中干部们普遍存在的困惑。在政府为群众办实事、办好事的过程中，常会出现由政府大包大揽的情况。然而，公私不分地由政府包揽一切事务，不仅会让群众产生依赖思想，还很难让群众事事满意。如今，民生投入越来越多，生态环境来越好，如何让群众的满意度越来越高？基层管理越来越细，基层干部越来越忙，如何让群众的认同感越来越强？城市建设越来越好，生活水平越来越高，如何让群众的幸福感越来越多？这对社区治理的工作有效性提出了越来越高的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333333"/>
          <w:spacing w:val="0"/>
          <w:sz w:val="21"/>
          <w:szCs w:val="21"/>
          <w:lang w:val="en-US" w:eastAsia="zh-CN"/>
        </w:rPr>
      </w:pPr>
      <w:r>
        <w:rPr>
          <w:rFonts w:hint="default" w:ascii="宋体" w:hAnsi="宋体" w:cs="宋体"/>
          <w:b w:val="0"/>
          <w:bCs w:val="0"/>
          <w:i w:val="0"/>
          <w:caps w:val="0"/>
          <w:color w:val="333333"/>
          <w:spacing w:val="0"/>
          <w:sz w:val="21"/>
          <w:szCs w:val="21"/>
          <w:lang w:val="en-US" w:eastAsia="zh-CN"/>
        </w:rPr>
        <w:t>九龙花园引导居民自治</w:t>
      </w:r>
      <w:r>
        <w:rPr>
          <w:rFonts w:hint="eastAsia" w:ascii="宋体" w:hAnsi="宋体" w:cs="宋体"/>
          <w:b w:val="0"/>
          <w:bCs w:val="0"/>
          <w:i w:val="0"/>
          <w:caps w:val="0"/>
          <w:color w:val="333333"/>
          <w:spacing w:val="0"/>
          <w:sz w:val="21"/>
          <w:szCs w:val="21"/>
          <w:lang w:val="en-US" w:eastAsia="zh-CN"/>
        </w:rPr>
        <w:t>，</w:t>
      </w:r>
      <w:r>
        <w:rPr>
          <w:rFonts w:hint="default" w:ascii="宋体" w:hAnsi="宋体" w:cs="宋体"/>
          <w:b w:val="0"/>
          <w:bCs w:val="0"/>
          <w:i w:val="0"/>
          <w:caps w:val="0"/>
          <w:color w:val="333333"/>
          <w:spacing w:val="0"/>
          <w:sz w:val="21"/>
          <w:szCs w:val="21"/>
          <w:lang w:val="en-US" w:eastAsia="zh-CN"/>
        </w:rPr>
        <w:t>组织成立了楼委会</w:t>
      </w:r>
      <w:r>
        <w:rPr>
          <w:rFonts w:hint="eastAsia" w:ascii="宋体" w:hAnsi="宋体" w:cs="宋体"/>
          <w:b w:val="0"/>
          <w:bCs w:val="0"/>
          <w:i w:val="0"/>
          <w:caps w:val="0"/>
          <w:color w:val="333333"/>
          <w:spacing w:val="0"/>
          <w:sz w:val="21"/>
          <w:szCs w:val="21"/>
          <w:lang w:val="en-US" w:eastAsia="zh-CN"/>
        </w:rPr>
        <w:t>、</w:t>
      </w:r>
      <w:r>
        <w:rPr>
          <w:rFonts w:hint="default" w:ascii="宋体" w:hAnsi="宋体" w:cs="宋体"/>
          <w:b w:val="0"/>
          <w:bCs w:val="0"/>
          <w:i w:val="0"/>
          <w:caps w:val="0"/>
          <w:color w:val="333333"/>
          <w:spacing w:val="0"/>
          <w:sz w:val="21"/>
          <w:szCs w:val="21"/>
          <w:lang w:val="en-US" w:eastAsia="zh-CN"/>
        </w:rPr>
        <w:t>议事委员会等自治组织,引导居民议定出《小区楼规民约》等5个制度规则,形成了“小区事、大家议、协商办、共监督”的自治管理流程。经过居民议事协商,由每户居民出资30元,公益事业发展基金支持2.5万元,街道配套1.8万元</w:t>
      </w:r>
      <w:r>
        <w:rPr>
          <w:rFonts w:hint="eastAsia" w:ascii="宋体" w:hAnsi="宋体" w:cs="宋体"/>
          <w:b w:val="0"/>
          <w:bCs w:val="0"/>
          <w:i w:val="0"/>
          <w:caps w:val="0"/>
          <w:color w:val="333333"/>
          <w:spacing w:val="0"/>
          <w:sz w:val="21"/>
          <w:szCs w:val="21"/>
          <w:lang w:val="en-US" w:eastAsia="zh-CN"/>
        </w:rPr>
        <w:t>，</w:t>
      </w:r>
      <w:r>
        <w:rPr>
          <w:rFonts w:hint="default" w:ascii="宋体" w:hAnsi="宋体" w:cs="宋体"/>
          <w:b w:val="0"/>
          <w:bCs w:val="0"/>
          <w:i w:val="0"/>
          <w:caps w:val="0"/>
          <w:color w:val="333333"/>
          <w:spacing w:val="0"/>
          <w:sz w:val="21"/>
          <w:szCs w:val="21"/>
          <w:lang w:val="en-US" w:eastAsia="zh-CN"/>
        </w:rPr>
        <w:t>改善了小区的出行等设施,同时组织志愿者对绿化等进行完善,有效地改变了居住环境。古楼湾片区安装摄像头需要28.5万元,社区两个月内召开听证会、协调会30余次,让居民充分表达意愿,最终达成“居民出</w:t>
      </w:r>
      <w:r>
        <w:rPr>
          <w:rFonts w:hint="eastAsia" w:ascii="宋体" w:hAnsi="宋体" w:cs="宋体"/>
          <w:b w:val="0"/>
          <w:bCs w:val="0"/>
          <w:i w:val="0"/>
          <w:caps w:val="0"/>
          <w:color w:val="333333"/>
          <w:spacing w:val="0"/>
          <w:sz w:val="21"/>
          <w:szCs w:val="21"/>
          <w:lang w:val="en-US" w:eastAsia="zh-CN"/>
        </w:rPr>
        <w:t>、</w:t>
      </w:r>
      <w:r>
        <w:rPr>
          <w:rFonts w:hint="default" w:ascii="宋体" w:hAnsi="宋体" w:cs="宋体"/>
          <w:b w:val="0"/>
          <w:bCs w:val="0"/>
          <w:i w:val="0"/>
          <w:caps w:val="0"/>
          <w:color w:val="333333"/>
          <w:spacing w:val="0"/>
          <w:sz w:val="21"/>
          <w:szCs w:val="21"/>
          <w:lang w:val="en-US" w:eastAsia="zh-CN"/>
        </w:rPr>
        <w:t>社会筹,自己事情自己办”的共识,3327 户居民(91%的参与率)出资7.2万元</w:t>
      </w:r>
      <w:r>
        <w:rPr>
          <w:rFonts w:hint="eastAsia" w:ascii="宋体" w:hAnsi="宋体" w:cs="宋体"/>
          <w:b w:val="0"/>
          <w:bCs w:val="0"/>
          <w:i w:val="0"/>
          <w:caps w:val="0"/>
          <w:color w:val="333333"/>
          <w:spacing w:val="0"/>
          <w:sz w:val="21"/>
          <w:szCs w:val="21"/>
          <w:lang w:val="en-US" w:eastAsia="zh-CN"/>
        </w:rPr>
        <w:t>，</w:t>
      </w:r>
      <w:r>
        <w:rPr>
          <w:rFonts w:hint="default" w:ascii="宋体" w:hAnsi="宋体" w:cs="宋体"/>
          <w:b w:val="0"/>
          <w:bCs w:val="0"/>
          <w:i w:val="0"/>
          <w:caps w:val="0"/>
          <w:color w:val="333333"/>
          <w:spacing w:val="0"/>
          <w:sz w:val="21"/>
          <w:szCs w:val="21"/>
          <w:lang w:val="en-US" w:eastAsia="zh-CN"/>
        </w:rPr>
        <w:t>社会单位支持19.6万元</w:t>
      </w:r>
      <w:r>
        <w:rPr>
          <w:rFonts w:hint="eastAsia" w:ascii="宋体" w:hAnsi="宋体" w:cs="宋体"/>
          <w:b w:val="0"/>
          <w:bCs w:val="0"/>
          <w:i w:val="0"/>
          <w:caps w:val="0"/>
          <w:color w:val="333333"/>
          <w:spacing w:val="0"/>
          <w:sz w:val="21"/>
          <w:szCs w:val="21"/>
          <w:lang w:val="en-US" w:eastAsia="zh-CN"/>
        </w:rPr>
        <w:t>，</w:t>
      </w:r>
      <w:r>
        <w:rPr>
          <w:rFonts w:hint="default" w:ascii="宋体" w:hAnsi="宋体" w:cs="宋体"/>
          <w:b w:val="0"/>
          <w:bCs w:val="0"/>
          <w:i w:val="0"/>
          <w:caps w:val="0"/>
          <w:color w:val="333333"/>
          <w:spacing w:val="0"/>
          <w:sz w:val="21"/>
          <w:szCs w:val="21"/>
          <w:lang w:val="en-US" w:eastAsia="zh-CN"/>
        </w:rPr>
        <w:t>在重要路口,案件高发区安装摄像头73个</w:t>
      </w:r>
      <w:r>
        <w:rPr>
          <w:rFonts w:hint="eastAsia" w:ascii="宋体" w:hAnsi="宋体" w:cs="宋体"/>
          <w:b w:val="0"/>
          <w:bCs w:val="0"/>
          <w:i w:val="0"/>
          <w:caps w:val="0"/>
          <w:color w:val="333333"/>
          <w:spacing w:val="0"/>
          <w:sz w:val="21"/>
          <w:szCs w:val="21"/>
          <w:lang w:val="en-US" w:eastAsia="zh-CN"/>
        </w:rPr>
        <w:t>，</w:t>
      </w:r>
      <w:r>
        <w:rPr>
          <w:rFonts w:hint="default" w:ascii="宋体" w:hAnsi="宋体" w:cs="宋体"/>
          <w:b w:val="0"/>
          <w:bCs w:val="0"/>
          <w:i w:val="0"/>
          <w:caps w:val="0"/>
          <w:color w:val="333333"/>
          <w:spacing w:val="0"/>
          <w:sz w:val="21"/>
          <w:szCs w:val="21"/>
          <w:lang w:val="en-US" w:eastAsia="zh-CN"/>
        </w:rPr>
        <w:t>使年均发案率同比下降45％,居民安全感大幅上升。近几年来</w:t>
      </w:r>
      <w:r>
        <w:rPr>
          <w:rFonts w:hint="eastAsia" w:ascii="宋体" w:hAnsi="宋体" w:cs="宋体"/>
          <w:b w:val="0"/>
          <w:bCs w:val="0"/>
          <w:i w:val="0"/>
          <w:caps w:val="0"/>
          <w:color w:val="333333"/>
          <w:spacing w:val="0"/>
          <w:sz w:val="21"/>
          <w:szCs w:val="21"/>
          <w:lang w:val="en-US" w:eastAsia="zh-CN"/>
        </w:rPr>
        <w:t>，</w:t>
      </w:r>
      <w:r>
        <w:rPr>
          <w:rFonts w:hint="default" w:ascii="宋体" w:hAnsi="宋体" w:cs="宋体"/>
          <w:b w:val="0"/>
          <w:bCs w:val="0"/>
          <w:i w:val="0"/>
          <w:caps w:val="0"/>
          <w:color w:val="333333"/>
          <w:spacing w:val="0"/>
          <w:sz w:val="21"/>
          <w:szCs w:val="21"/>
          <w:lang w:val="en-US" w:eastAsia="zh-CN"/>
        </w:rPr>
        <w:t>N区先后获得了全国文明城区、国家卫生城区等 20 多项国家级荣誉。</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333333"/>
          <w:spacing w:val="0"/>
          <w:sz w:val="21"/>
          <w:szCs w:val="21"/>
        </w:rPr>
      </w:pPr>
      <w:r>
        <w:rPr>
          <w:rFonts w:hint="eastAsia" w:ascii="宋体" w:hAnsi="宋体" w:eastAsia="宋体" w:cs="宋体"/>
          <w:i w:val="0"/>
          <w:caps w:val="0"/>
          <w:color w:val="333333"/>
          <w:spacing w:val="0"/>
          <w:sz w:val="21"/>
          <w:szCs w:val="21"/>
          <w:shd w:val="clear" w:fill="FFFFFF"/>
        </w:rPr>
        <w:t>三、作答要求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333333"/>
          <w:spacing w:val="0"/>
          <w:sz w:val="21"/>
          <w:szCs w:val="21"/>
          <w:shd w:val="clear" w:fill="FFFFFF"/>
          <w:lang w:eastAsia="zh-CN"/>
        </w:rPr>
      </w:pPr>
      <w:r>
        <w:rPr>
          <w:rFonts w:hint="eastAsia" w:ascii="宋体" w:hAnsi="宋体" w:cs="宋体"/>
          <w:b/>
          <w:bCs/>
          <w:i w:val="0"/>
          <w:caps w:val="0"/>
          <w:color w:val="333333"/>
          <w:spacing w:val="0"/>
          <w:sz w:val="21"/>
          <w:szCs w:val="21"/>
          <w:shd w:val="clear" w:fill="FFFFFF"/>
          <w:lang w:eastAsia="zh-CN"/>
        </w:rPr>
        <w:t>（</w:t>
      </w:r>
      <w:r>
        <w:rPr>
          <w:rFonts w:hint="eastAsia" w:ascii="宋体" w:hAnsi="宋体" w:cs="宋体"/>
          <w:b/>
          <w:bCs/>
          <w:i w:val="0"/>
          <w:caps w:val="0"/>
          <w:color w:val="333333"/>
          <w:spacing w:val="0"/>
          <w:sz w:val="21"/>
          <w:szCs w:val="21"/>
          <w:shd w:val="clear" w:fill="FFFFFF"/>
          <w:lang w:val="en-US" w:eastAsia="zh-CN"/>
        </w:rPr>
        <w:t>一</w:t>
      </w:r>
      <w:r>
        <w:rPr>
          <w:rFonts w:hint="eastAsia" w:ascii="宋体" w:hAnsi="宋体" w:cs="宋体"/>
          <w:b/>
          <w:bCs/>
          <w:i w:val="0"/>
          <w:caps w:val="0"/>
          <w:color w:val="333333"/>
          <w:spacing w:val="0"/>
          <w:sz w:val="21"/>
          <w:szCs w:val="21"/>
          <w:shd w:val="clear" w:fill="FFFFFF"/>
          <w:lang w:eastAsia="zh-CN"/>
        </w:rPr>
        <w:t>）根据“给定资料1”，归纳K镇打造智慧健康生活的主要做法。（20分）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333333"/>
          <w:spacing w:val="0"/>
          <w:sz w:val="21"/>
          <w:szCs w:val="21"/>
          <w:shd w:val="clear" w:fill="FFFFFF"/>
        </w:rPr>
      </w:pPr>
      <w:r>
        <w:rPr>
          <w:rFonts w:hint="eastAsia" w:ascii="宋体" w:hAnsi="宋体" w:cs="宋体"/>
          <w:b w:val="0"/>
          <w:bCs w:val="0"/>
          <w:i w:val="0"/>
          <w:caps w:val="0"/>
          <w:color w:val="333333"/>
          <w:spacing w:val="0"/>
          <w:sz w:val="21"/>
          <w:szCs w:val="21"/>
          <w:shd w:val="clear" w:fill="FFFFFF"/>
          <w:lang w:eastAsia="zh-CN"/>
        </w:rPr>
        <w:t>要求：全面准确，层次清晰，字数不超过300字。</w:t>
      </w:r>
      <w:r>
        <w:rPr>
          <w:rFonts w:hint="eastAsia" w:ascii="宋体" w:hAnsi="宋体" w:eastAsia="宋体" w:cs="宋体"/>
          <w:b w:val="0"/>
          <w:bCs w:val="0"/>
          <w:i w:val="0"/>
          <w:caps w:val="0"/>
          <w:color w:val="333333"/>
          <w:spacing w:val="0"/>
          <w:sz w:val="21"/>
          <w:szCs w:val="21"/>
          <w:shd w:val="clear" w:fill="FFFFFF"/>
        </w:rPr>
        <w:t>。</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i w:val="0"/>
          <w:caps w:val="0"/>
          <w:color w:val="333333"/>
          <w:spacing w:val="0"/>
          <w:sz w:val="21"/>
          <w:szCs w:val="21"/>
          <w:shd w:val="clear" w:fill="FFFFFF"/>
          <w:lang w:eastAsia="zh-CN"/>
        </w:rPr>
      </w:pPr>
      <w:r>
        <w:rPr>
          <w:rFonts w:hint="eastAsia" w:ascii="宋体" w:hAnsi="宋体" w:cs="宋体"/>
          <w:b/>
          <w:i w:val="0"/>
          <w:caps w:val="0"/>
          <w:color w:val="333333"/>
          <w:spacing w:val="0"/>
          <w:sz w:val="21"/>
          <w:szCs w:val="21"/>
          <w:shd w:val="clear" w:fill="FFFFFF"/>
          <w:lang w:eastAsia="zh-CN"/>
        </w:rPr>
        <w:t>（</w:t>
      </w:r>
      <w:r>
        <w:rPr>
          <w:rFonts w:hint="eastAsia" w:ascii="宋体" w:hAnsi="宋体" w:cs="宋体"/>
          <w:b/>
          <w:i w:val="0"/>
          <w:caps w:val="0"/>
          <w:color w:val="333333"/>
          <w:spacing w:val="0"/>
          <w:sz w:val="21"/>
          <w:szCs w:val="21"/>
          <w:shd w:val="clear" w:fill="FFFFFF"/>
          <w:lang w:val="en-US" w:eastAsia="zh-CN"/>
        </w:rPr>
        <w:t>二</w:t>
      </w:r>
      <w:r>
        <w:rPr>
          <w:rFonts w:hint="eastAsia" w:ascii="宋体" w:hAnsi="宋体" w:cs="宋体"/>
          <w:b/>
          <w:i w:val="0"/>
          <w:caps w:val="0"/>
          <w:color w:val="333333"/>
          <w:spacing w:val="0"/>
          <w:sz w:val="21"/>
          <w:szCs w:val="21"/>
          <w:shd w:val="clear" w:fill="FFFFFF"/>
          <w:lang w:eastAsia="zh-CN"/>
        </w:rPr>
        <w:t>）根据“给定资料2、3”，谈谈G县是如何实现从“多肉大县”到“多肉强县”这一转变的。（30分）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333333"/>
          <w:spacing w:val="0"/>
          <w:sz w:val="21"/>
          <w:szCs w:val="21"/>
          <w:shd w:val="clear" w:fill="FFFFFF"/>
          <w:lang w:eastAsia="zh-CN"/>
        </w:rPr>
      </w:pPr>
      <w:r>
        <w:rPr>
          <w:rFonts w:hint="eastAsia" w:ascii="宋体" w:hAnsi="宋体" w:cs="宋体"/>
          <w:b w:val="0"/>
          <w:bCs/>
          <w:i w:val="0"/>
          <w:caps w:val="0"/>
          <w:color w:val="333333"/>
          <w:spacing w:val="0"/>
          <w:sz w:val="21"/>
          <w:szCs w:val="21"/>
          <w:shd w:val="clear" w:fill="FFFFFF"/>
          <w:lang w:eastAsia="zh-CN"/>
        </w:rPr>
        <w:t>要求：全面准确，分析透彻，针对性强，字数不超过500字。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333333"/>
          <w:spacing w:val="0"/>
          <w:sz w:val="21"/>
          <w:szCs w:val="21"/>
          <w:shd w:val="clear" w:fill="FFFFFF"/>
          <w:lang w:eastAsia="zh-CN"/>
        </w:rPr>
      </w:pPr>
      <w:r>
        <w:rPr>
          <w:rFonts w:hint="eastAsia" w:ascii="宋体" w:hAnsi="宋体" w:cs="宋体"/>
          <w:b/>
          <w:bCs/>
          <w:i w:val="0"/>
          <w:caps w:val="0"/>
          <w:color w:val="333333"/>
          <w:spacing w:val="0"/>
          <w:sz w:val="21"/>
          <w:szCs w:val="21"/>
          <w:shd w:val="clear" w:fill="FFFFFF"/>
          <w:lang w:eastAsia="zh-CN"/>
        </w:rPr>
        <w:t>（</w:t>
      </w:r>
      <w:r>
        <w:rPr>
          <w:rFonts w:hint="eastAsia" w:ascii="宋体" w:hAnsi="宋体" w:cs="宋体"/>
          <w:b/>
          <w:bCs/>
          <w:i w:val="0"/>
          <w:caps w:val="0"/>
          <w:color w:val="333333"/>
          <w:spacing w:val="0"/>
          <w:sz w:val="21"/>
          <w:szCs w:val="21"/>
          <w:shd w:val="clear" w:fill="FFFFFF"/>
          <w:lang w:val="en-US" w:eastAsia="zh-CN"/>
        </w:rPr>
        <w:t>三</w:t>
      </w:r>
      <w:r>
        <w:rPr>
          <w:rFonts w:hint="eastAsia" w:ascii="宋体" w:hAnsi="宋体" w:cs="宋体"/>
          <w:b/>
          <w:bCs/>
          <w:i w:val="0"/>
          <w:caps w:val="0"/>
          <w:color w:val="333333"/>
          <w:spacing w:val="0"/>
          <w:sz w:val="21"/>
          <w:szCs w:val="21"/>
          <w:shd w:val="clear" w:fill="FFFFFF"/>
          <w:lang w:eastAsia="zh-CN"/>
        </w:rPr>
        <w:t>）参考给定资料，围绕基层社区治理主题，自选角度，自拟题目，写一篇文章。（50分）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333333"/>
          <w:spacing w:val="0"/>
          <w:sz w:val="21"/>
          <w:szCs w:val="21"/>
          <w:shd w:val="clear" w:fill="FFFFFF"/>
          <w:lang w:eastAsia="zh-CN"/>
        </w:rPr>
      </w:pPr>
      <w:r>
        <w:rPr>
          <w:rFonts w:hint="eastAsia" w:ascii="宋体" w:hAnsi="宋体" w:cs="宋体"/>
          <w:b/>
          <w:bCs/>
          <w:i w:val="0"/>
          <w:caps w:val="0"/>
          <w:color w:val="333333"/>
          <w:spacing w:val="0"/>
          <w:sz w:val="21"/>
          <w:szCs w:val="21"/>
          <w:shd w:val="clear" w:fill="FFFFFF"/>
          <w:lang w:eastAsia="zh-CN"/>
        </w:rPr>
        <w:t>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333333"/>
          <w:spacing w:val="0"/>
          <w:sz w:val="21"/>
          <w:szCs w:val="21"/>
          <w:shd w:val="clear" w:fill="FFFFFF"/>
          <w:lang w:eastAsia="zh-CN"/>
        </w:rPr>
      </w:pPr>
      <w:r>
        <w:rPr>
          <w:rFonts w:hint="eastAsia" w:ascii="宋体" w:hAnsi="宋体" w:cs="宋体"/>
          <w:b w:val="0"/>
          <w:bCs w:val="0"/>
          <w:i w:val="0"/>
          <w:caps w:val="0"/>
          <w:color w:val="333333"/>
          <w:spacing w:val="0"/>
          <w:sz w:val="21"/>
          <w:szCs w:val="21"/>
          <w:shd w:val="clear" w:fill="FFFFFF"/>
          <w:lang w:eastAsia="zh-CN"/>
        </w:rPr>
        <w:t>（1）结合给定资料，但不拘泥于给定资料； </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333333"/>
          <w:spacing w:val="0"/>
          <w:sz w:val="21"/>
          <w:szCs w:val="21"/>
          <w:shd w:val="clear" w:fill="FFFFFF"/>
          <w:lang w:eastAsia="zh-CN"/>
        </w:rPr>
      </w:pPr>
      <w:r>
        <w:rPr>
          <w:rFonts w:hint="eastAsia" w:ascii="宋体" w:hAnsi="宋体" w:cs="宋体"/>
          <w:b w:val="0"/>
          <w:bCs w:val="0"/>
          <w:i w:val="0"/>
          <w:caps w:val="0"/>
          <w:color w:val="333333"/>
          <w:spacing w:val="0"/>
          <w:sz w:val="21"/>
          <w:szCs w:val="21"/>
          <w:shd w:val="clear" w:fill="FFFFFF"/>
          <w:lang w:eastAsia="zh-CN"/>
        </w:rPr>
        <w:t>（2）观点正确，结构完整；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333333"/>
          <w:spacing w:val="0"/>
          <w:sz w:val="21"/>
          <w:szCs w:val="21"/>
          <w:shd w:val="clear" w:fill="FFFFFF"/>
          <w:lang w:eastAsia="zh-CN"/>
        </w:rPr>
      </w:pPr>
      <w:r>
        <w:rPr>
          <w:rFonts w:hint="eastAsia" w:ascii="宋体" w:hAnsi="宋体" w:cs="宋体"/>
          <w:b w:val="0"/>
          <w:bCs w:val="0"/>
          <w:i w:val="0"/>
          <w:caps w:val="0"/>
          <w:color w:val="333333"/>
          <w:spacing w:val="0"/>
          <w:sz w:val="21"/>
          <w:szCs w:val="21"/>
          <w:shd w:val="clear" w:fill="FFFFFF"/>
          <w:lang w:eastAsia="zh-CN"/>
        </w:rPr>
        <w:t>（3）逻辑清晰，语言流畅；</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333333"/>
          <w:spacing w:val="0"/>
          <w:sz w:val="21"/>
          <w:szCs w:val="21"/>
        </w:rPr>
      </w:pPr>
      <w:r>
        <w:rPr>
          <w:rFonts w:hint="eastAsia" w:ascii="宋体" w:hAnsi="宋体" w:cs="宋体"/>
          <w:b w:val="0"/>
          <w:bCs w:val="0"/>
          <w:i w:val="0"/>
          <w:caps w:val="0"/>
          <w:color w:val="333333"/>
          <w:spacing w:val="0"/>
          <w:sz w:val="21"/>
          <w:szCs w:val="21"/>
          <w:shd w:val="clear" w:fill="FFFFFF"/>
          <w:lang w:eastAsia="zh-CN"/>
        </w:rPr>
        <w:t>（4）字数1000-1200字</w:t>
      </w:r>
      <w:r>
        <w:rPr>
          <w:rFonts w:hint="eastAsia" w:ascii="宋体" w:hAnsi="宋体" w:eastAsia="宋体" w:cs="宋体"/>
          <w:b w:val="0"/>
          <w:bCs w:val="0"/>
          <w:i w:val="0"/>
          <w:caps w:val="0"/>
          <w:color w:val="333333"/>
          <w:spacing w:val="0"/>
          <w:sz w:val="21"/>
          <w:szCs w:val="21"/>
          <w:shd w:val="clear" w:fill="FFFFFF"/>
        </w:rPr>
        <w:t>。</w:t>
      </w:r>
    </w:p>
    <w:p>
      <w:pPr>
        <w:jc w:val="center"/>
        <w:rPr>
          <w:rFonts w:hint="eastAsia" w:ascii="宋体" w:hAnsi="宋体" w:eastAsia="宋体" w:cs="宋体"/>
          <w:color w:val="000000" w:themeColor="text1"/>
          <w:sz w:val="21"/>
          <w:szCs w:val="21"/>
          <w:lang w:eastAsia="zh-CN"/>
          <w14:textFill>
            <w14:solidFill>
              <w14:schemeClr w14:val="tx1"/>
            </w14:solidFill>
          </w14:textFill>
        </w:rPr>
      </w:pPr>
    </w:p>
    <w:p>
      <w:pPr>
        <w:rPr>
          <w:rFonts w:hint="eastAsia" w:ascii="宋体" w:hAnsi="宋体" w:eastAsia="宋体" w:cs="宋体"/>
          <w:b/>
          <w:bCs/>
          <w:i w:val="0"/>
          <w:caps w:val="0"/>
          <w:color w:val="3C464F"/>
          <w:spacing w:val="0"/>
          <w:sz w:val="28"/>
          <w:szCs w:val="28"/>
          <w:shd w:val="clear" w:fill="FFFFFF"/>
        </w:rPr>
      </w:pPr>
      <w:r>
        <w:rPr>
          <w:rFonts w:hint="eastAsia" w:ascii="宋体" w:hAnsi="宋体" w:eastAsia="宋体" w:cs="宋体"/>
          <w:b/>
          <w:bCs/>
          <w:i w:val="0"/>
          <w:caps w:val="0"/>
          <w:color w:val="3C464F"/>
          <w:spacing w:val="0"/>
          <w:sz w:val="28"/>
          <w:szCs w:val="28"/>
          <w:shd w:val="clear" w:fill="FFFFFF"/>
        </w:rPr>
        <w:br w:type="page"/>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default" w:ascii="宋体" w:hAnsi="宋体" w:eastAsia="宋体" w:cs="宋体"/>
          <w:b/>
          <w:bCs/>
          <w:i w:val="0"/>
          <w:caps w:val="0"/>
          <w:color w:val="3C464F"/>
          <w:spacing w:val="0"/>
          <w:sz w:val="28"/>
          <w:szCs w:val="28"/>
          <w:shd w:val="clear" w:fill="FFFFFF"/>
          <w:lang w:val="en-US" w:eastAsia="zh-CN"/>
        </w:rPr>
      </w:pPr>
      <w:r>
        <w:rPr>
          <w:rFonts w:hint="eastAsia" w:ascii="宋体" w:hAnsi="宋体" w:eastAsia="宋体" w:cs="宋体"/>
          <w:b/>
          <w:bCs/>
          <w:i w:val="0"/>
          <w:caps w:val="0"/>
          <w:color w:val="3C464F"/>
          <w:spacing w:val="0"/>
          <w:sz w:val="28"/>
          <w:szCs w:val="28"/>
          <w:shd w:val="clear" w:fill="FFFFFF"/>
        </w:rPr>
        <w:t>2020年0725公务员多省联考《申论》题（福建</w:t>
      </w:r>
      <w:r>
        <w:rPr>
          <w:rFonts w:hint="eastAsia" w:ascii="宋体" w:hAnsi="宋体" w:cs="宋体"/>
          <w:b/>
          <w:bCs/>
          <w:i w:val="0"/>
          <w:caps w:val="0"/>
          <w:color w:val="3C464F"/>
          <w:spacing w:val="0"/>
          <w:sz w:val="28"/>
          <w:szCs w:val="28"/>
          <w:shd w:val="clear" w:fill="FFFFFF"/>
          <w:lang w:val="en-US" w:eastAsia="zh-CN"/>
        </w:rPr>
        <w:t>县级</w:t>
      </w:r>
      <w:r>
        <w:rPr>
          <w:rFonts w:hint="eastAsia" w:ascii="宋体" w:hAnsi="宋体" w:eastAsia="宋体" w:cs="宋体"/>
          <w:b/>
          <w:bCs/>
          <w:i w:val="0"/>
          <w:caps w:val="0"/>
          <w:color w:val="3C464F"/>
          <w:spacing w:val="0"/>
          <w:sz w:val="28"/>
          <w:szCs w:val="28"/>
          <w:shd w:val="clear" w:fill="FFFFFF"/>
        </w:rPr>
        <w:t>卷）</w:t>
      </w:r>
      <w:r>
        <w:rPr>
          <w:rFonts w:hint="eastAsia" w:ascii="宋体" w:hAnsi="宋体" w:cs="宋体"/>
          <w:b/>
          <w:bCs/>
          <w:i w:val="0"/>
          <w:caps w:val="0"/>
          <w:color w:val="3C464F"/>
          <w:spacing w:val="0"/>
          <w:sz w:val="28"/>
          <w:szCs w:val="28"/>
          <w:shd w:val="clear" w:fill="FFFFFF"/>
          <w:lang w:val="en-US" w:eastAsia="zh-CN"/>
        </w:rPr>
        <w:t>参考答案</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b w:val="0"/>
          <w:i w:val="0"/>
          <w:caps w:val="0"/>
          <w:color w:val="000000" w:themeColor="text1"/>
          <w:spacing w:val="0"/>
          <w:sz w:val="21"/>
          <w:szCs w:val="21"/>
          <w:lang w:val="en-US" w:eastAsia="zh-CN"/>
          <w14:textFill>
            <w14:solidFill>
              <w14:schemeClr w14:val="tx1"/>
            </w14:solidFill>
          </w14:textFill>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一、</w:t>
      </w:r>
      <w:r>
        <w:rPr>
          <w:rFonts w:hint="eastAsia" w:ascii="宋体" w:hAnsi="宋体" w:eastAsia="宋体" w:cs="宋体"/>
          <w:b/>
          <w:bCs/>
          <w:color w:val="000000" w:themeColor="text1"/>
          <w:sz w:val="21"/>
          <w:szCs w:val="21"/>
          <w:lang w:val="en-US" w:eastAsia="zh-CN"/>
          <w14:textFill>
            <w14:solidFill>
              <w14:schemeClr w14:val="tx1"/>
            </w14:solidFill>
          </w14:textFill>
        </w:rPr>
        <w:t>参考答案</w:t>
      </w:r>
      <w:r>
        <w:rPr>
          <w:rFonts w:hint="eastAsia" w:ascii="宋体" w:hAnsi="宋体" w:cs="宋体"/>
          <w:b/>
          <w:bCs/>
          <w:color w:val="000000" w:themeColor="text1"/>
          <w:sz w:val="21"/>
          <w:szCs w:val="21"/>
          <w:lang w:val="en-US" w:eastAsia="zh-CN"/>
          <w14:textFill>
            <w14:solidFill>
              <w14:schemeClr w14:val="tx1"/>
            </w14:solidFill>
          </w14:textFill>
        </w:rPr>
        <w:t>（F）</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K镇在医疗、健身、养老等方面全方位打造智慧健康生活，体现了综合性、系统性，具体做法如下：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一、打造智慧医疗系统。医护人员配备智能挂表，远程实时监控病人；打造“掌上医院”手机软件，提供一站式、全过程就医服务，就医过程便捷高效。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二、建设智慧健身长廊。安装智能体育器材，配备防护设施、节能设施，进行数据采集、信息回传，体现以人为本，促进全民健康。</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三、设立智慧养老平台。提供多元化服务，手机设置紧急救助键；打造邻里互助模式，就近选择青壮年担任助老员，互联网点单，提供精准服务；设立健康检查室，配备先进仪器，上传健康数据，进行信息共享，保障老人健康安全。</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1.开展智慧就医服务。寻求上级医疗机构帮助，建立智慧医疗系统，实现就医全过程的智能化，方便居民就医。</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2.开展智慧健身服务。建立智慧健身长廊等智慧健身设施，安装智慧体育器材，以人为本，推进全民健身运动，用智慧体育赋能健身生活。</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000000" w:themeColor="text1"/>
          <w:sz w:val="21"/>
          <w:szCs w:val="21"/>
          <w:lang w:val="en-US" w:eastAsia="zh-CN"/>
          <w14:textFill>
            <w14:solidFill>
              <w14:schemeClr w14:val="tx1"/>
            </w14:solidFill>
          </w14:textFill>
        </w:rPr>
      </w:pPr>
      <w:r>
        <w:rPr>
          <w:rFonts w:hint="default" w:ascii="宋体" w:hAnsi="宋体" w:cs="宋体"/>
          <w:b w:val="0"/>
          <w:bCs w:val="0"/>
          <w:color w:val="000000" w:themeColor="text1"/>
          <w:sz w:val="21"/>
          <w:szCs w:val="21"/>
          <w:lang w:val="en-US" w:eastAsia="zh-CN"/>
          <w14:textFill>
            <w14:solidFill>
              <w14:schemeClr w14:val="tx1"/>
            </w14:solidFill>
          </w14:textFill>
        </w:rPr>
        <w:t>3.开展智慧养老服务。建立智慧养老服务中心，打通养老服务最后一公里，提供智能化服务；开展邻里互助的助老服务模式，实现安全、便利的居家养老服务；建设社区居家养老服务驿站，共享老人健康数据，及时抢救患病老人。</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二、</w:t>
      </w:r>
      <w:r>
        <w:rPr>
          <w:rFonts w:hint="eastAsia" w:ascii="宋体" w:hAnsi="宋体" w:eastAsia="宋体" w:cs="宋体"/>
          <w:b/>
          <w:bCs/>
          <w:color w:val="000000" w:themeColor="text1"/>
          <w:sz w:val="21"/>
          <w:szCs w:val="21"/>
          <w:lang w:val="en-US" w:eastAsia="zh-CN"/>
          <w14:textFill>
            <w14:solidFill>
              <w14:schemeClr w14:val="tx1"/>
            </w14:solidFill>
          </w14:textFill>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在市委、市政府的指导下，G县高位谋划、全面升级，以多肉为核心，发展生态经济：</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1.夯实产业基础，提高产品质量。依托多肉植物培植园，深入乡镇，建设多肉植物种植点，构建“一镇一品”“多肉拓植”新格局；实现生产标准化、工厂化，丰富产品种类，提高多肉品相，缩小产品区域差异。</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2.组织技能培训，提高种植水平。邀请农科院专家，指导种植，鼓励农户在水土、病虫害防治方面积累经验，避免盲目扩建；对接市电商服务中心，组织线上销售培训，拓宽销售渠道。</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3.政府贷款支持，打造产业品牌。为种植户提供低利息贷款，推出“整贷零还”业务，减轻种植户压力；以建设旅游元素为重点，打造“旅游小城”品牌，发展休闲观光旅游，完善配套设施。</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1.政府主导，高位谋划。在市委、市政府的指导下，迅速反应，抓住机遇，做出整体规划和全盘布局。</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2.产业链条，全面拓宽。延伸产业链，整合配置多肉产业资源，如土壤、盆器、花肥等，并明确各乡镇在多肉产业的专攻领域。</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3.增加品种，一镇一品。每个乡镇都建设一个种植点，构建多肉拓植新格局，通过标准化、工厂化，使多肉种类丰富多样。</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4.提升品质，打造精品。将园林设计融入到多肉种植中，设计出造型别致、创意十足的盆景，提高多肉的附加值。</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5.政策扶持，资金到位。为种植多肉的农户提供低利息贷款，推出“整贷零还”业务，减轻农户压力。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6.网络电商，线上销售。适应“互联网+”新业态，开辟线上销售渠道，邀请网络平台网红主播带货。</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7.组织培训，解决难题。邀请农科院专家，指导种植，解决技术难题；对接电商服务中心，组织线上销售培训，解决销售难题。</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8.产业拓展，创立品牌。建设森林公园、田园综合体、多肉DIY体验区、多肉展销区等，打造旅游小城品牌，发展生态旅游、休闲旅游。</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b/>
          <w:bCs/>
          <w:color w:val="000000" w:themeColor="text1"/>
          <w:sz w:val="21"/>
          <w:szCs w:val="21"/>
          <w:lang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三、</w:t>
      </w:r>
      <w:r>
        <w:rPr>
          <w:rFonts w:hint="eastAsia" w:ascii="宋体" w:hAnsi="宋体" w:eastAsia="宋体" w:cs="宋体"/>
          <w:b/>
          <w:bCs/>
          <w:color w:val="000000" w:themeColor="text1"/>
          <w:sz w:val="21"/>
          <w:szCs w:val="21"/>
          <w:lang w:val="en-US" w:eastAsia="zh-CN"/>
          <w14:textFill>
            <w14:solidFill>
              <w14:schemeClr w14:val="tx1"/>
            </w14:solidFill>
          </w14:textFill>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用好现代手段，推动基层社区治理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党的十九大提出构建全民共建共治共享的社会治理格局，加强和创新社会治理，推进社会治理体系和治理能力现代化，其重心和难点均在基层。随着城市化进程加快，熟人社会向陌生人社会转变，基层社区的情况愈加复杂多变，基层治理难度陡然上升，依靠传统治理模式举步维艰。</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要满足基层治理差异化、多样化、个性化、多元化的诉求，需要提升社区治理专业化水平，用好现代化治理手段，推动基层社区治理智慧化、产业化、自治化，努力打通城市治理的“最后一公里。”</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基层社区治理要提效，需要结合技术手段，实行“智治”。掌上医院、智慧体育器材、智慧养老……这些通过大数据、云技术、人工智能等技术的社区治理模式极大的提高了政府工作效率，节约资源，方便群众。“一网统管”垃圾分类提升了垃圾分类达标率；扫“安康码”降低了疫情传播的速度；网上办事大厅实现无纸化审批，将便民落到实处……未来，我们要着力强化数字赋能，在数据整理、移动办事等方面下足功夫，不断推出“实战中管用、基层干部爱用、群众感到受用”的智能平台，勇当数字治理创新的时代弄潮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延长产业链，实现产业多元化是探索基层社区治理的一个重要尝试。</w:t>
      </w:r>
      <w:r>
        <w:rPr>
          <w:rFonts w:hint="eastAsia" w:ascii="宋体" w:hAnsi="宋体" w:eastAsia="宋体" w:cs="宋体"/>
          <w:color w:val="000000" w:themeColor="text1"/>
          <w:sz w:val="21"/>
          <w:szCs w:val="21"/>
          <w:lang w:eastAsia="zh-CN"/>
          <w14:textFill>
            <w14:solidFill>
              <w14:schemeClr w14:val="tx1"/>
            </w14:solidFill>
          </w14:textFill>
        </w:rPr>
        <w:t>小生产者多，产品区域差异明显，品相参差不齐，规格难以统一，互相压价降低利润空间……产业恶性发展是基层管理的难题之一。我们必须抓住源头，延长产业链，发展特色产业，推动基层治理。如四川石垭子村围绕中药材产业发展，大力引进农业企业，以规模化、规范化的种植模式，代替原来的传统作业方式，提高中药材的产量和品质，走出了因产业低端而导致恶性竞争的发展困局，以发展推动了治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b/>
          <w:bCs/>
          <w:color w:val="000000" w:themeColor="text1"/>
          <w:sz w:val="21"/>
          <w:szCs w:val="21"/>
          <w:lang w:eastAsia="zh-CN"/>
          <w14:textFill>
            <w14:solidFill>
              <w14:schemeClr w14:val="tx1"/>
            </w14:solidFill>
          </w14:textFill>
        </w:rPr>
        <w:t>我们需要政府推动“智治”，更需要群众“自治”。</w:t>
      </w:r>
      <w:r>
        <w:rPr>
          <w:rFonts w:hint="eastAsia" w:ascii="宋体" w:hAnsi="宋体" w:eastAsia="宋体" w:cs="宋体"/>
          <w:color w:val="000000" w:themeColor="text1"/>
          <w:sz w:val="21"/>
          <w:szCs w:val="21"/>
          <w:lang w:eastAsia="zh-CN"/>
          <w14:textFill>
            <w14:solidFill>
              <w14:schemeClr w14:val="tx1"/>
            </w14:solidFill>
          </w14:textFill>
        </w:rPr>
        <w:t>十九大强调“实现政府治理和社会调节、居民自治良性互动”。传统行政式的社区管理方式，既费力又不讨好。重庆市南岸区发现，该由政府办的公共事务，要全力办好；该由社区处理的事，要在自治的前提下，依法办得让群众满意；属于社区居民自己家的私事，由社区引导，主要由私人办好。政府、社区大包大揽不利于管理精细化，无法应对群众多元化诉求。无论巢湖市采用社区人居环境整治义务督查员的方式让居民参与垃圾分类，还是上海松江区联合志愿者解决乱停车的难题都是利用群众自治的成功案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基层舞台大有可为，也应大有作为。基层社区治理得好不好，直接关系到居民群众切身利益和城乡基层和谐稳定。只有“智治”与“自治”结合，发展特色产业，方能感知社会态势、畅通沟通渠道、辅助科学决策，提高社区治理效率和效能。</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000000" w:themeColor="text1"/>
          <w:sz w:val="21"/>
          <w:szCs w:val="21"/>
          <w:lang w:val="en-US" w:eastAsia="zh-CN"/>
          <w14:textFill>
            <w14:solidFill>
              <w14:schemeClr w14:val="tx1"/>
            </w14:solidFill>
          </w14:textFill>
        </w:rPr>
      </w:pPr>
      <w:r>
        <w:rPr>
          <w:rFonts w:hint="eastAsia" w:ascii="宋体" w:hAnsi="宋体" w:cs="宋体"/>
          <w:b/>
          <w:bCs/>
          <w:color w:val="000000" w:themeColor="text1"/>
          <w:sz w:val="21"/>
          <w:szCs w:val="21"/>
          <w:lang w:val="en-US" w:eastAsia="zh-CN"/>
          <w14:textFill>
            <w14:solidFill>
              <w14:schemeClr w14:val="tx1"/>
            </w14:solidFill>
          </w14:textFill>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推进社区治理现代化 提高社区治理水平</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社区治理是一个社区基层组织的核心任务，如何做到社区秩序的有序发展、做到社区群众的充分满意、做到社区资源的有效利用，反映着社区治理能力的优劣。习近平总书记指出，一个国家治理体系和治理能力的现代化水平很大程度上体现在基层。“基础不牢，地动山摇。”社区治理对中国城市治理体系现代化进程有着重要意义。提高基层社区治理水平，实现基层社区治理能力的现代化，应该是当前城市治理工作的重要目标。而要实现这个目标，基层社区治理就必须要回答好三个问题。</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一个问题：责任和权利如何分配？基层治理机构的权利是人民赋予的，是以为民服务为宗旨的，基层治理责任是不可推卸的任务，权利是为责任服务的。目前部分地区的社区治理陷入了一个“加大投入——强化权利——居民不满——继续强化权利”的怪圈，社区干部经常性的委屈抱冤，为何工作都做了，居民就是不满意？为何每天风吹日晒，却得不到群众的赞誉？为何走进群众家里，屡屡遭受白眼和冷遇？实际上，这部分社区忽视了责任和权利的边界。K省F市的一些做法可以为我们带来一些思考和借鉴。面对社区垃圾治理的难题，F市社区也搞起了垃圾分类处理，但是F市并没有胡乱的下分垃圾处理任务，而是真正的把垃圾治理视为必须解决的民生责任，不断加大投入，垃圾分类设施的合理设置自是应有之意，犄角旮旯的环境死角更能抓住民心。正是减少了权利的控制欲，增加了责任的履行感，才让F市的社区治理工作抓住了民心。</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二个问题：效率和质量如何平衡？有人说，效率和质量是一对“水火不容”的关系，要质量就不能追求效率，要效率就不能在乎质量。实际上，效率与质量并非是此消彼长的关系。既保证效率，又提高质量，在现实中是完全可以做到的，在社区治理中亦是如此。那么，怎样让质量和效率得到平衡呢？这就必须提高社区治理的智能化水平。就像一个人想要感知周边的环境，需要依靠视觉、听觉、嗅觉、味觉和触觉，作为社区的管理者，也要感知环境变化、安全指数、群众需求，这就需要通过人工智能、大数据、云计算、物联网、5G技术、AR技术等终端，打造一套深度感知系统，更加精准地掌握社区的动态信息，掌握居民的实际需求。再通过智慧医疗、智慧养老、智慧物业、智慧安防等工具，一方面实现快速反应，方便快捷，大大提升服务的效率；另一方面也为居民提供了个性化、差异化的服务，保证了服务的质量。这就实现了社区治理中效率与质量的平衡。</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第三个问题：共治和自治如何相融？党的十九大报告提出，要打造共建共治共享的社会治理格局，加强社区治理体系建设，实现政府治理和社会调节、居民自治良性互动。这一阐述，深刻地解释了共治与自治的联系。社区共治，是指通过“党委领导、政府负责、社会协同、公众参与”，来促使各方面形成合力，解决民生问题。而社区自治，则是通过社区成员的自我约束和自我教育，实现社区居民的自主管理和自我服务。为什么要强调自治？因为如果在社区治理中政府大包大揽，不仅不能让群众满意，还会让群众产生“等靠要”的思想。因此，居民自己家的私事，还是要依靠社区引导，由私人办好。为什么要强调共治？因为如果没有把群众组织起来同步推动社会建设，就不利于解决面对的矛盾和问题。因此，必须通过自上而下的精细管理，带动自下而上的广泛参与。通过共治与自治的相容，才能最终解决好“大事”，办理好“小事”，处理好“私事”。</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t>在社区治理上，时代是出卷人，人民群众是阅卷人，党和政府则是答卷人。相信当我们回答好“责任和权利如何分配”“效率和质量如何平衡”“共治和自治如何相融”这三个问题，就一定完成时代给我们的这一张答卷，描绘出社会治理的崭新的蓝图。</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double" w:color="auto" w:sz="8" w:space="1"/>
      </w:pBdr>
      <w:rPr>
        <w:rFonts w:hint="eastAsia"/>
      </w:rP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7347D73"/>
    <w:rsid w:val="0889761C"/>
    <w:rsid w:val="0A98507B"/>
    <w:rsid w:val="0F612F75"/>
    <w:rsid w:val="11E83F74"/>
    <w:rsid w:val="13B87B3F"/>
    <w:rsid w:val="14595FA3"/>
    <w:rsid w:val="18656B91"/>
    <w:rsid w:val="1BC33CB3"/>
    <w:rsid w:val="1CC30A5C"/>
    <w:rsid w:val="25AF0B76"/>
    <w:rsid w:val="28D10B22"/>
    <w:rsid w:val="2D8D4698"/>
    <w:rsid w:val="2EA606F5"/>
    <w:rsid w:val="31311D5F"/>
    <w:rsid w:val="38537A6B"/>
    <w:rsid w:val="3B8165C3"/>
    <w:rsid w:val="3BC71067"/>
    <w:rsid w:val="3CF06C5C"/>
    <w:rsid w:val="3D4D32F4"/>
    <w:rsid w:val="3E965D2C"/>
    <w:rsid w:val="417D0790"/>
    <w:rsid w:val="45553416"/>
    <w:rsid w:val="4659133D"/>
    <w:rsid w:val="46B23918"/>
    <w:rsid w:val="4AF4719D"/>
    <w:rsid w:val="4CE57501"/>
    <w:rsid w:val="51B8145E"/>
    <w:rsid w:val="522C4CC7"/>
    <w:rsid w:val="541D0774"/>
    <w:rsid w:val="58321038"/>
    <w:rsid w:val="58E10783"/>
    <w:rsid w:val="599B0129"/>
    <w:rsid w:val="5B862ED5"/>
    <w:rsid w:val="5D601891"/>
    <w:rsid w:val="664A2D6F"/>
    <w:rsid w:val="6F864E21"/>
    <w:rsid w:val="78590AA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11006</Words>
  <Characters>11179</Characters>
  <Lines>354</Lines>
  <Paragraphs>99</Paragraphs>
  <TotalTime>0</TotalTime>
  <ScaleCrop>false</ScaleCrop>
  <LinksUpToDate>false</LinksUpToDate>
  <CharactersWithSpaces>11184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2017-02-17T14:44:00Z</dcterms:created>
  <dc:creator>微软用户</dc:creator>
  <cp:lastModifiedBy>沙鸥汀月</cp:lastModifiedBy>
  <dcterms:modified xsi:type="dcterms:W3CDTF">2022-07-11T23:51:19Z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2FA3800B8A674BF797B190880D6BA5F5</vt:lpwstr>
  </property>
</Properties>
</file>