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562" w:firstLineChars="20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200</w:t>
      </w:r>
      <w:r>
        <w:rPr>
          <w:rFonts w:hint="eastAsia" w:ascii="宋体" w:hAnsi="宋体" w:eastAsia="宋体" w:cs="宋体"/>
          <w:b/>
          <w:bCs/>
          <w:color w:val="000000" w:themeColor="text1"/>
          <w:sz w:val="28"/>
          <w:szCs w:val="28"/>
          <w:lang w:val="en-US" w:eastAsia="zh-CN"/>
          <w14:textFill>
            <w14:solidFill>
              <w14:schemeClr w14:val="tx1"/>
            </w14:solidFill>
          </w14:textFill>
        </w:rPr>
        <w:t>6</w:t>
      </w:r>
      <w:r>
        <w:rPr>
          <w:rFonts w:hint="eastAsia" w:ascii="宋体" w:hAnsi="宋体" w:eastAsia="宋体" w:cs="宋体"/>
          <w:b/>
          <w:bCs/>
          <w:color w:val="000000" w:themeColor="text1"/>
          <w:sz w:val="28"/>
          <w:szCs w:val="28"/>
          <w14:textFill>
            <w14:solidFill>
              <w14:schemeClr w14:val="tx1"/>
            </w14:solidFill>
          </w14:textFill>
        </w:rPr>
        <w:t>年广西</w:t>
      </w:r>
      <w:r>
        <w:rPr>
          <w:rFonts w:hint="eastAsia" w:ascii="宋体" w:hAnsi="宋体" w:eastAsia="宋体" w:cs="宋体"/>
          <w:b/>
          <w:bCs/>
          <w:color w:val="000000" w:themeColor="text1"/>
          <w:sz w:val="28"/>
          <w:szCs w:val="28"/>
          <w:lang w:val="en-US" w:eastAsia="zh-CN"/>
          <w14:textFill>
            <w14:solidFill>
              <w14:schemeClr w14:val="tx1"/>
            </w14:solidFill>
          </w14:textFill>
        </w:rPr>
        <w:t>公务员考试《申论》</w:t>
      </w:r>
      <w:r>
        <w:rPr>
          <w:rFonts w:hint="eastAsia" w:ascii="宋体" w:hAnsi="宋体" w:eastAsia="宋体" w:cs="宋体"/>
          <w:b/>
          <w:bCs/>
          <w:color w:val="000000" w:themeColor="text1"/>
          <w:sz w:val="28"/>
          <w:szCs w:val="28"/>
          <w14:textFill>
            <w14:solidFill>
              <w14:schemeClr w14:val="tx1"/>
            </w14:solidFill>
          </w14:textFill>
        </w:rPr>
        <w:t>真题</w:t>
      </w:r>
    </w:p>
    <w:p>
      <w:pPr>
        <w:pStyle w:val="5"/>
        <w:keepNext w:val="0"/>
        <w:keepLines w:val="0"/>
        <w:pageBreakBefore w:val="0"/>
        <w:widowControl w:val="0"/>
        <w:suppressLineNumbers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center"/>
        <w:textAlignment w:val="auto"/>
        <w:rPr>
          <w:rFonts w:hint="eastAsia" w:ascii="宋体" w:hAnsi="宋体" w:eastAsia="宋体" w:cs="宋体"/>
          <w:b/>
          <w:bCs/>
          <w:color w:val="000000" w:themeColor="text1"/>
          <w:sz w:val="21"/>
          <w:szCs w:val="21"/>
          <w14:textFill>
            <w14:solidFill>
              <w14:schemeClr w14:val="tx1"/>
            </w14:solidFill>
          </w14:textFill>
        </w:rPr>
      </w:pPr>
    </w:p>
    <w:p>
      <w:pPr>
        <w:pStyle w:val="2"/>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一、注意事项</w:t>
      </w:r>
    </w:p>
    <w:p>
      <w:pPr>
        <w:pStyle w:val="2"/>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1.申论考试必须在给定的答题卡上作答，在本卷上作答无效。答题前请先阅读答题卡上的“注意事项”，并在答题卡上指定位置填写自己的姓名、报考部门及填涂准考证号。</w:t>
      </w:r>
    </w:p>
    <w:p>
      <w:pPr>
        <w:pStyle w:val="2"/>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2.申论考试与一般的写作考试不同，它是对应考者阅读理解能力、分析能力、提出并解决问题能力和文字表达能力的综合测试。</w:t>
      </w:r>
    </w:p>
    <w:p>
      <w:pPr>
        <w:pStyle w:val="2"/>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3.请先仔细阅读给定的资料，然后按照后面提出的“申论要求”依次作答。</w:t>
      </w:r>
    </w:p>
    <w:p>
      <w:pPr>
        <w:pStyle w:val="2"/>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4.本卷考试满分为100分。考试总时限为150分钟，建议你阅读给定资料参考时限为30分钟左右，剩余时间用于作答。</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cs="宋体"/>
          <w:b/>
          <w:i w:val="0"/>
          <w:caps w:val="0"/>
          <w:color w:val="000000" w:themeColor="text1"/>
          <w:spacing w:val="0"/>
          <w:sz w:val="21"/>
          <w:szCs w:val="21"/>
          <w:shd w:val="clear" w:fill="FFFFFF"/>
          <w:lang w:val="en-US" w:eastAsia="zh-CN"/>
          <w14:textFill>
            <w14:solidFill>
              <w14:schemeClr w14:val="tx1"/>
            </w14:solidFill>
          </w14:textFill>
        </w:rPr>
      </w:pPr>
      <w:r>
        <w:rPr>
          <w:rFonts w:hint="eastAsia" w:cs="宋体"/>
          <w:b/>
          <w:i w:val="0"/>
          <w:caps w:val="0"/>
          <w:color w:val="000000" w:themeColor="text1"/>
          <w:spacing w:val="0"/>
          <w:sz w:val="21"/>
          <w:szCs w:val="21"/>
          <w:shd w:val="clear" w:fill="FFFFFF"/>
          <w:lang w:val="en-US" w:eastAsia="zh-CN"/>
          <w14:textFill>
            <w14:solidFill>
              <w14:schemeClr w14:val="tx1"/>
            </w14:solidFill>
          </w14:textFill>
        </w:rPr>
        <w:t>二、给定材料</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材料1:</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2004年，上海各级工商部门共查处各类违法广告1039件，罚款822万元，有力地规范了上海的广告宣传秩序。为进一步惩戒违法主体，维护消费者权益，昨天市工商局向社会公布2004年上海工商部门查处的十大虚假违法广告案件。</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北京九九方元保健品经销有限公司上海分公司发布虚假保健食品违法广告案。2004年6月以来，该公司利用媒体、宣传册等宣传“富硒灵芝宝”保健食品，广告内容中夸大了产品的功效，称“适合各个时期的肿瘤患者”、“明显降低肿瘤复发与转移的几率”、“全国服用肿瘤患者数已超过50万”等，严重误导肿瘤患者。</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处罚：责令停止发布违法广告并处罚款8000元。</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材料2:</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上海教卫进修学院发布虚假招生广告案。2004年7月，该学院利用媒体发布“航空乘务员就业培训班”，称可以“保证入选学员顺利进入民航系统就业。”实际上无任何单位授权该学院开设航空乘务员培训班，以及定向就业招生，学院无法保证入选学员进入民航系统就业。</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处罚：责令停止发布违法广告并处罚款18600元。</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材料3:</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上海林赛娇生物科技发展有限公司发布虚假违法保健食品广告案。2004年3月，该公司利用报纸发布广告宣传“肠清茶”保健食品广告，广告超出批准的保健功能范围，称“毛孔变小、皮肤细腻、失眠得到改善”。</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处罚：责令停止发布违法广告并处罚款24000元。</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材料4:</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上海智绘生物医学研究有限公司发布虚假药品广告案。2004年6月，该公司为其经销的“东方灵芝宝”灵芝胶囊药品自行设计并散发印刷品进行广告宣传，称这种药品可以“治癌、抗癌”，而这种药品实际经批准的药理作用与“治疗癌症”无任何关系。</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处罚：责令停止发布违法广告并处罚款10000元。</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材料5:</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上海金谷药物研究有限公司发布虚假保健食品违法广告案。该公司在明知其产品核定的保健功能为“改善记忆、抗疲劳、延缓衰老”的情况下，利用产品的成分进行虚假的广告宣传，误导消费者以为产品“对脑萎缩、老年痴呆”等疾病有治疗作用。</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处罚：责令停止发布违法广告并处罚款10000元。</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材料6:</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上海中科敬业生化技术有限公司发布违法保健食品广告案。2004年2月，该公司在本市报纸发布“中科甲尔胶囊”保健食品广告，广告中的“溶解沉积在血管内壁的血斑、血栓，疏通血管经脉；调节血粘”等内容，超出了该产品实际被批准的保健功能范围，误导了消费者。</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处罚：责令停止发布违法广告并处罚款2300元。</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材料7:</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上海可丽可心保健品有限公司发布虚假减肥产品广告案。2004年2月，该公司在本市某报纸发布广告，称“一个月减肥20斤，两个月40斤”，“45天就能减30斤”，并承诺少减一斤可全额退款，这些说辞无相关证明，片面夸大产品减肥效果，欺骗和误导了消费者。</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处罚：责令停止发布违法广告并处罚款5000元。</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材料8:</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上海南洋医院有限公司发布违法医疗广告案。2004年5月，该医院通过其擅自发布的印刷品，大肆进行治疗尖锐湿疣、淋病等性病的医疗广告宣传，并含有“保证治愈”的内容，严重违反了法律、法规的规定。</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处罚：责令停止发布违法广告并处罚款2000元。</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材料9:</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上海杨浦区医联门诊部发布虚假医疗广告案。2004年9月，该门诊部利用报纸发布医疗广告，称其推出的“光子减肥”项目，“只需一次，终结漫漫减肥路”，“只需一次一小时，做到想减哪儿就减哪儿，让您真正拥有永久苗条的身材”，误导了消费者。</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2004年11月，国家工商总局发布消费警示：“灵芝类保健食品不具有任何治疗作用，同药品有质的区别。”</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首都经贸大学广告研究所所长杨同庆说，类似灵芝类保健食品宣传就是虚假广告。虚假广告是广告活动中采取欺骗的方法或者引人误解的陈述，对商品或者服务的主要内容做不真实宣传、侵害了消费者权益的违法行为。</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目前针对虚假广告的“一片喊打”声中，矛头最多的指向了虚假药品广告，食品、日化用品、房地产、教育等领域也存在严重的虚假广告现象。近日，国家工商行政管理总局通报了五类虚假广告的主要违法表现。</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房地产：除了未标明开发企业名称、预售或者销售许可证书号等一般性不规范行为外，主要是含有升值或者投资回报的承诺。</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医疗：以新闻报道形式发布，在对有关医疗机构的人物专访、专题报道等文章中出现医疗机构详细地址、电话、联系办法等广告宣传内容，或者在发表有关文章的同时，在同一版面发布有关医疗机构的广告；广告内容严重超出《医疗广告管理办法》的规定；以科室或者专科门诊的名义发布广告；违反规定发布治疗性病广告；证明文号、有效截止日等不规范行为。</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药品：含有不科学的表示功效的断言和保证；为治疗肿瘤药品、改善和治疗性功能障碍药品及计划生育用药发布广告；含有有奖销售、让利销售及馈赠、降价等违法促销内容；广告中无药品生产批准文号及广告审批文号；以新闻报道形式发布。</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保健食品：出现与药品相混淆的用语，直接或者间接宣传治疗作用；使用医疗机构、医生、患者的名义或者形象，及利用专家、消费者的名义或者形象做证明；无保健食品标记和批准文号。</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化妆品：使用医疗用语或者易与药品相混淆的用语；化妆品名称、制法、成分、效用或者性能有虚假夸大的表现；涉及化妆品性能或者功能、销量等方面的数据等等。</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default" w:ascii="宋体" w:hAnsi="宋体" w:eastAsia="宋体" w:cs="宋体"/>
          <w:b/>
          <w:i w:val="0"/>
          <w:caps w:val="0"/>
          <w:color w:val="000000" w:themeColor="text1"/>
          <w:spacing w:val="0"/>
          <w:sz w:val="21"/>
          <w:szCs w:val="21"/>
          <w:shd w:val="clear" w:fill="FFFFFF"/>
          <w:lang w:val="en-US" w:eastAsia="zh-CN"/>
          <w14:textFill>
            <w14:solidFill>
              <w14:schemeClr w14:val="tx1"/>
            </w14:solidFill>
          </w14:textFill>
        </w:rPr>
      </w:pPr>
      <w:r>
        <w:rPr>
          <w:rFonts w:hint="eastAsia" w:cs="宋体"/>
          <w:b/>
          <w:i w:val="0"/>
          <w:caps w:val="0"/>
          <w:color w:val="000000" w:themeColor="text1"/>
          <w:spacing w:val="0"/>
          <w:sz w:val="21"/>
          <w:szCs w:val="21"/>
          <w:shd w:val="clear" w:fill="FFFFFF"/>
          <w:lang w:val="en-US" w:eastAsia="zh-CN"/>
          <w14:textFill>
            <w14:solidFill>
              <w14:schemeClr w14:val="tx1"/>
            </w14:solidFill>
          </w14:textFill>
        </w:rPr>
        <w:t>三、作答要求</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val="0"/>
          <w:i w:val="0"/>
          <w:caps w:val="0"/>
          <w:color w:val="000000" w:themeColor="text1"/>
          <w:spacing w:val="0"/>
          <w:sz w:val="21"/>
          <w:szCs w:val="21"/>
          <w14:textFill>
            <w14:solidFill>
              <w14:schemeClr w14:val="tx1"/>
            </w14:solidFill>
          </w14:textFill>
        </w:rPr>
      </w:pP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第1题</w:t>
      </w:r>
      <w:r>
        <w:rPr>
          <w:rFonts w:hint="eastAsia" w:cs="宋体"/>
          <w:b/>
          <w:bCs w:val="0"/>
          <w:i w:val="0"/>
          <w:caps w:val="0"/>
          <w:color w:val="000000" w:themeColor="text1"/>
          <w:spacing w:val="0"/>
          <w:sz w:val="21"/>
          <w:szCs w:val="21"/>
          <w:shd w:val="clear" w:fill="FFFFFF"/>
          <w:lang w:eastAsia="zh-CN"/>
          <w14:textFill>
            <w14:solidFill>
              <w14:schemeClr w14:val="tx1"/>
            </w14:solidFill>
          </w14:textFill>
        </w:rPr>
        <w:t>：</w:t>
      </w: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请用不超过150字的篇幅，条文式地概括出给定资料所反映的几个主要问题。</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要求：</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字数不超过150字。</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val="0"/>
          <w:i w:val="0"/>
          <w:caps w:val="0"/>
          <w:color w:val="000000" w:themeColor="text1"/>
          <w:spacing w:val="0"/>
          <w:sz w:val="21"/>
          <w:szCs w:val="21"/>
          <w14:textFill>
            <w14:solidFill>
              <w14:schemeClr w14:val="tx1"/>
            </w14:solidFill>
          </w14:textFill>
        </w:rPr>
      </w:pP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第2题</w:t>
      </w:r>
      <w:r>
        <w:rPr>
          <w:rFonts w:hint="eastAsia" w:cs="宋体"/>
          <w:b/>
          <w:bCs w:val="0"/>
          <w:i w:val="0"/>
          <w:caps w:val="0"/>
          <w:color w:val="000000" w:themeColor="text1"/>
          <w:spacing w:val="0"/>
          <w:sz w:val="21"/>
          <w:szCs w:val="21"/>
          <w:shd w:val="clear" w:fill="FFFFFF"/>
          <w:lang w:eastAsia="zh-CN"/>
          <w14:textFill>
            <w14:solidFill>
              <w14:schemeClr w14:val="tx1"/>
            </w14:solidFill>
          </w14:textFill>
        </w:rPr>
        <w:t>：</w:t>
      </w: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请用不超过350字的篇幅，对给定资料所反映的主要问题提出对策。</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要求：</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1、要分条列款地说明，要体现针对性、可操作性和条理性。2、字数不超过350字。</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val="0"/>
          <w:i w:val="0"/>
          <w:caps w:val="0"/>
          <w:color w:val="000000" w:themeColor="text1"/>
          <w:spacing w:val="0"/>
          <w:sz w:val="21"/>
          <w:szCs w:val="21"/>
          <w14:textFill>
            <w14:solidFill>
              <w14:schemeClr w14:val="tx1"/>
            </w14:solidFill>
          </w14:textFill>
        </w:rPr>
      </w:pP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第3题</w:t>
      </w:r>
      <w:r>
        <w:rPr>
          <w:rFonts w:hint="eastAsia" w:cs="宋体"/>
          <w:b/>
          <w:bCs w:val="0"/>
          <w:i w:val="0"/>
          <w:caps w:val="0"/>
          <w:color w:val="000000" w:themeColor="text1"/>
          <w:spacing w:val="0"/>
          <w:sz w:val="21"/>
          <w:szCs w:val="21"/>
          <w:shd w:val="clear" w:fill="FFFFFF"/>
          <w:lang w:eastAsia="zh-CN"/>
          <w14:textFill>
            <w14:solidFill>
              <w14:schemeClr w14:val="tx1"/>
            </w14:solidFill>
          </w14:textFill>
        </w:rPr>
        <w:t>：</w:t>
      </w: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请自拟标题，就给定资料所反映的主要问题，用不少于1200字的篇幅进行论述。可全面论述，也可就某一方面重点论述。</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要求：</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中心明确，论点正确，论据充分，论证深刻，有说服力。</w:t>
      </w:r>
    </w:p>
    <w:p>
      <w:pP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br w:type="page"/>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562" w:firstLineChars="20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200</w:t>
      </w:r>
      <w:r>
        <w:rPr>
          <w:rFonts w:hint="eastAsia" w:ascii="宋体" w:hAnsi="宋体" w:eastAsia="宋体" w:cs="宋体"/>
          <w:b/>
          <w:bCs/>
          <w:color w:val="000000" w:themeColor="text1"/>
          <w:sz w:val="28"/>
          <w:szCs w:val="28"/>
          <w:lang w:val="en-US" w:eastAsia="zh-CN"/>
          <w14:textFill>
            <w14:solidFill>
              <w14:schemeClr w14:val="tx1"/>
            </w14:solidFill>
          </w14:textFill>
        </w:rPr>
        <w:t>6</w:t>
      </w:r>
      <w:r>
        <w:rPr>
          <w:rFonts w:hint="eastAsia" w:ascii="宋体" w:hAnsi="宋体" w:eastAsia="宋体" w:cs="宋体"/>
          <w:b/>
          <w:bCs/>
          <w:color w:val="000000" w:themeColor="text1"/>
          <w:sz w:val="28"/>
          <w:szCs w:val="28"/>
          <w14:textFill>
            <w14:solidFill>
              <w14:schemeClr w14:val="tx1"/>
            </w14:solidFill>
          </w14:textFill>
        </w:rPr>
        <w:t>年广西</w:t>
      </w:r>
      <w:r>
        <w:rPr>
          <w:rFonts w:hint="eastAsia" w:ascii="宋体" w:hAnsi="宋体" w:eastAsia="宋体" w:cs="宋体"/>
          <w:b/>
          <w:bCs/>
          <w:color w:val="000000" w:themeColor="text1"/>
          <w:sz w:val="28"/>
          <w:szCs w:val="28"/>
          <w:lang w:val="en-US" w:eastAsia="zh-CN"/>
          <w14:textFill>
            <w14:solidFill>
              <w14:schemeClr w14:val="tx1"/>
            </w14:solidFill>
          </w14:textFill>
        </w:rPr>
        <w:t>公务员考试《申论》</w:t>
      </w:r>
      <w:r>
        <w:rPr>
          <w:rFonts w:hint="eastAsia" w:ascii="宋体" w:hAnsi="宋体" w:eastAsia="宋体" w:cs="宋体"/>
          <w:b/>
          <w:bCs/>
          <w:color w:val="000000" w:themeColor="text1"/>
          <w:sz w:val="28"/>
          <w:szCs w:val="28"/>
          <w14:textFill>
            <w14:solidFill>
              <w14:schemeClr w14:val="tx1"/>
            </w14:solidFill>
          </w14:textFill>
        </w:rPr>
        <w:t>真题</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pP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val="0"/>
          <w:i w:val="0"/>
          <w:caps w:val="0"/>
          <w:color w:val="000000" w:themeColor="text1"/>
          <w:spacing w:val="0"/>
          <w:sz w:val="21"/>
          <w:szCs w:val="21"/>
          <w14:textFill>
            <w14:solidFill>
              <w14:schemeClr w14:val="tx1"/>
            </w14:solidFill>
          </w14:textFill>
        </w:rPr>
      </w:pP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第1题</w:t>
      </w:r>
      <w:r>
        <w:rPr>
          <w:rFonts w:hint="eastAsia" w:cs="宋体"/>
          <w:b/>
          <w:bCs w:val="0"/>
          <w:i w:val="0"/>
          <w:caps w:val="0"/>
          <w:color w:val="000000" w:themeColor="text1"/>
          <w:spacing w:val="0"/>
          <w:sz w:val="21"/>
          <w:szCs w:val="21"/>
          <w:shd w:val="clear" w:fill="FFFFFF"/>
          <w:lang w:eastAsia="zh-CN"/>
          <w14:textFill>
            <w14:solidFill>
              <w14:schemeClr w14:val="tx1"/>
            </w14:solidFill>
          </w14:textFill>
        </w:rPr>
        <w:t>：</w:t>
      </w: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请用不超过150字的篇幅，条文式地概括出给定资料所反映的几个主要问题。</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审题要点：</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这是一道典型的概括题，答案基本来源于材料本身，答题的时候要注意以下几点1、要求概括的是材料反映的主要问题。2、要求条文式的作答。3、字数不能超过150字所以要高度概括。</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解题思路：</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概括题一般都可以在材料里找到答案，总体来说，材料的几个案例反映了一些个案。在材料的结尾部分命题人做了比较系统的归纳。所以说这题是比较简单的。但是答题本身是不能照抄材料。我们可以借鉴材料的结尾部分来获取答案。具体参考如下：</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参考解析：</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主要是各领域存在虚假广告的问题，包括：1、房地产领域不标明开发企业名称、随意给消费者承诺；2、医疗领域公开医疗机构联系方式，发布内容违反相关规定；3、药品领域随意保证药品功效，含有违法促销内容；4、保健食品领域出现混淆药品和保健品的广告用语，相关证明不真实；5、化妆品领域用语不规范，夸大产品效果。</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val="0"/>
          <w:i w:val="0"/>
          <w:caps w:val="0"/>
          <w:color w:val="000000" w:themeColor="text1"/>
          <w:spacing w:val="0"/>
          <w:sz w:val="21"/>
          <w:szCs w:val="21"/>
          <w14:textFill>
            <w14:solidFill>
              <w14:schemeClr w14:val="tx1"/>
            </w14:solidFill>
          </w14:textFill>
        </w:rPr>
      </w:pP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第2题</w:t>
      </w:r>
      <w:r>
        <w:rPr>
          <w:rFonts w:hint="eastAsia" w:cs="宋体"/>
          <w:b/>
          <w:bCs w:val="0"/>
          <w:i w:val="0"/>
          <w:caps w:val="0"/>
          <w:color w:val="000000" w:themeColor="text1"/>
          <w:spacing w:val="0"/>
          <w:sz w:val="21"/>
          <w:szCs w:val="21"/>
          <w:shd w:val="clear" w:fill="FFFFFF"/>
          <w:lang w:eastAsia="zh-CN"/>
          <w14:textFill>
            <w14:solidFill>
              <w14:schemeClr w14:val="tx1"/>
            </w14:solidFill>
          </w14:textFill>
        </w:rPr>
        <w:t>：</w:t>
      </w: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请用不超过350字的篇幅，对给定资料所反映的主要问题提出对策。</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审题要点：</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这是一道典型的对策题，考查考生解决问题的能力。审题干，要求针对材料中反映的虚假广告问题提出对策建议，问题已经明确了，审要求，要分条列款地说明，要求考生要分条分布写，答案有条理；要有针对性的提出，分条作答；要体现针对性、可操作性和条理性，要求考生所提对策必须是针对材料中的问题，具有可行性，又重申答案的逻辑性，有条理，考生要分条作答。字数控制在350字以内。</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解题思路：</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对策题一般都是为了解决针具体的问题而提出的，因此，首先我们就要归纳出材料所反映的基本问题。这一点可以参考第一题，虚假广告的产生有方方面面的问题，提对策可以根据问题反推对策，也可以借鉴材料反映的对策或结合自身的生活经验和实践体验来提对策。</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参考解析：</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完善法律体系和管理制度。针对广告行业存在的问题，政府相关部门应该制定一系列的规章和管理制度。从法律的角度对广告行业实行规范，做到有法可依。二、加强广告准入的审批流程。政府有关部门在针对有关广告申请审批过程中，要严格审批流程，从程序和内容等全方位严格要求。不符合规范的单位坚决不社会危害性，自觉的抵制虚假广告的从业行为。只有从制度和思想两个方面共同入手，才能从根本上预防虚假医疗广告的存在。虚假医疗广告的存在不仅危害到人民群众的生命和财产安全，也影响到行业的健康发展，是社会良性运行的一个毒瘤。要想根治毒瘤，就必须将“施猛药”与“预防针”相结合。惩防并举，多管齐下，才能彻底根治。虚假医疗广告的治理，不但对本行业的健康发展提供良好的基础，还能为其他领域的虚假广告治理提供必要的经验，共同促进市场秩序和社会环境的和谐进步。</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br w:type="page"/>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予审批。三、加大打击和处罚力度。相关部门要严格执法，加大对于违反广告宣传的处罚力度，提高其违法成本，对于因虚假宣传造成严重后果的，司法机关应该追加相关责任人的法律责任。四、加强宣传教育，提高行业自我约束力。政府有关部门应该加强对于广告行业进行必要的宣传，提高行业的自律意识。</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val="0"/>
          <w:i w:val="0"/>
          <w:caps w:val="0"/>
          <w:color w:val="000000" w:themeColor="text1"/>
          <w:spacing w:val="0"/>
          <w:sz w:val="21"/>
          <w:szCs w:val="21"/>
          <w14:textFill>
            <w14:solidFill>
              <w14:schemeClr w14:val="tx1"/>
            </w14:solidFill>
          </w14:textFill>
        </w:rPr>
      </w:pP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第3题</w:t>
      </w:r>
      <w:r>
        <w:rPr>
          <w:rFonts w:hint="eastAsia" w:cs="宋体"/>
          <w:b/>
          <w:bCs w:val="0"/>
          <w:i w:val="0"/>
          <w:caps w:val="0"/>
          <w:color w:val="000000" w:themeColor="text1"/>
          <w:spacing w:val="0"/>
          <w:sz w:val="21"/>
          <w:szCs w:val="21"/>
          <w:shd w:val="clear" w:fill="FFFFFF"/>
          <w:lang w:eastAsia="zh-CN"/>
          <w14:textFill>
            <w14:solidFill>
              <w14:schemeClr w14:val="tx1"/>
            </w14:solidFill>
          </w14:textFill>
        </w:rPr>
        <w:t>：</w:t>
      </w: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请自拟标题，就给定资料所反映的主要问题，用不少于1200字的篇幅进行论述。可全面论述，也可就某一方面重点论述。</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审题要点：</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审题干，通过读题干虽然是一个问题作文，要求考生能够围绕给定材料所反映的问题展开论述，可以围绕全部问题，也可以围绕问题的一个方面来写。审要求，中心明确，论点正确就是要求考生在选取的论点的时候一定要围绕材料所反映的问题即虚假广告问题展开，中心明确就是要开门见山的提出论点；论据充分，论证深刻，有说服力，要求考生所选论据正确、充实，论证有深度、高度和力度。</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解题思路：</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该题题目考生可以围绕材料所反映的整体问题展开，也可以围绕问题的一个方面展开，建议考生围绕问题的一个具体的方面展开能够做到言之有物而避免空洞，材料所反映的整个问题是虚假广告，但是也具体谈到了医药领域，房地产领域和保健市场领域等等，我们可以围绕一个特定的领域来展开。同时材料中提出了许多事例我们可以作为论据加以借鉴。</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参考解析：</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惩防并举</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——治理医疗虚假广告</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随着我国市场经济的不断发展，广告业也越来越发达。无处不在的广告一方面给人民群众提供了丰富的信息，同时也带动了其他实体经济的发展，在生产和消费之间建立起了一座信息的桥梁。</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但是，随着广告业的快速发展，广告本身也带来许多社会问题。就目前的形势来看我国虚假广告宣传现象非常的严重。如房地产开发单位不标明开发企业名称、随意给消费者承诺投资回报；医疗单位公开医疗机构联系方式，随意宣传内容违法的广告欺骗病人；同时还有许多保健食品企业以次充好，以假乱真。</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广告用语不规范，夸大产品的效果等。在这些问题之中医疗虚假广告宣传的行为尤为恶劣。不但影响到人民群众的生命和财产安全，也制约了行业的健康发展，更影响到社会的和谐稳定。因此，惩防并举治理医疗虚假广告已成为社会各界必须完成的一项铁任务！当务之急，就是要对一些虚假宣传的医疗单位进行集中清理，加大对其的打击和惩处力度。医疗行业不仅是一个商业产业，而且还应该担负一定的社会责任。</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由于广告业是近年来的一个新生产业，各方面的管理制度都不太健全。医疗和广告的结合本质上是没有问题的。但是如果医疗行业只是过分的注重其商业的成分，而忽略其社会的责任，那势必会造成恶性的后果。近年来发生的一些医疗事故和医疗纠纷大多都与医疗广告的宣传有关。但是在最近发生的医疗虚假广告的治理过程中，大部分的处理方式只是简单的罚款了事。这种行政方式其实未从根本上触及非法商家的痛处。所以，政府相关部门应该加大医疗虚假广告的打击力度。对于影响恶劣的行为要坚决予以取缔，同时对于一般的违法行为也要加大处罚力度，提高其违法成本，保证医疗市场的健康发展。</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惩”能解决眼前的问题，但是还应该强化“防”的工作。要想解决虚假医疗广告必须将预防也作为一项根本任务来抓。具体来说就是要做好两个方面。一方面要完善管理法规和管理制度的建设。上已述及，医疗广告的出现时间还并不是太长，政府对于这方面的管理制度和法律还不太完善，这就使得有关执法部门在对于其治理的过程中存在无法可依的状况。这样也就影响了对医疗虚假广告的治疗效果。所以，完善法律，健全管理制度是治理医疗虚假广告的一个主要方面。只有法律和制度完善，才能使得政府在管理的时候有法可依，为行政执法提高制度性的保障。</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另一方面，还应该加强对于相关广告从业人员的宣传教育的力度，使其意识到虚假广告的社会危害性，自觉的抵制虚假广告的从业行为。只有从制度和思想两个方面共同入手，才能从根本上预防虚假医疗广告的存在。虚假医疗广告的存在不仅危害到人民群众的生命和财产安全，也影响到行业的健康发展，是社会良性运行的一个毒瘤。要想根治毒瘤，就必须将“施猛药”与“预防针”相结合。</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惩防并举，多管齐下，才能彻底根治。虚假医疗广告的治理，不但对本行业的健康发展提供良好的基础，还能为其他领域的虚假广告治理提供必要的经验，共同促进市场秩序和社会环境的和谐进步。</w:t>
      </w:r>
    </w:p>
    <w:p>
      <w:pPr>
        <w:keepNext w:val="0"/>
        <w:keepLines w:val="0"/>
        <w:pageBreakBefore w:val="0"/>
        <w:widowControl w:val="0"/>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bookmarkStart w:id="0" w:name="_GoBack"/>
      <w:bookmarkEnd w:id="0"/>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sectPr>
      <w:headerReference r:id="rId4" w:type="first"/>
      <w:footerReference r:id="rId7" w:type="first"/>
      <w:footerReference r:id="rId5" w:type="default"/>
      <w:headerReference r:id="rId3" w:type="even"/>
      <w:footerReference r:id="rId6" w:type="even"/>
      <w:pgSz w:w="11906" w:h="16838"/>
      <w:pgMar w:top="851" w:right="1417" w:bottom="850" w:left="1417" w:header="454" w:footer="624"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upright="0">
                      <a:spAutoFit/>
                    </wps:bodyPr>
                  </wps:wsp>
                </a:graphicData>
              </a:graphic>
            </wp:anchor>
          </w:drawing>
        </mc:Choice>
        <mc:Fallback>
          <w:pict>
            <v:shape id="文本框 4"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DCN/+z2AEAALADAAAOAAAAAAAAAAEAIAAA&#10;AB4BAABkcnMvZTJvRG9jLnhtbFBLBQYAAAAABgAGAFkBAABoBQAAAAA=&#10;">
              <v:fill on="f" focussize="0,0"/>
              <v:stroke on="f"/>
              <v:imagedata o:title=""/>
              <o:lock v:ext="edit" aspectratio="f"/>
              <v:textbox inset="0mm,0mm,0mm,0mm" style="mso-fit-shape-to-text:t;">
                <w:txbxContent>
                  <w:p>
                    <w:pPr>
                      <w:pStyle w:val="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PowerPlusWaterMarkObject2" o:spid="_x0000_s4098" o:spt="136" type="#_x0000_t136" style="position:absolute;left:0pt;height:90.05pt;width:495.4pt;mso-position-horizontal:center;mso-position-horizontal-relative:margin;mso-position-vertical:center;mso-position-vertical-relative:margin;rotation:20643840f;z-index:-251656192;mso-width-relative:page;mso-height-relative:page;" fillcolor="#999999" filled="t" stroked="f" coordsize="21600,21600" o:allowincell="f">
          <v:path/>
          <v:fill on="t" opacity="32768f" focussize="0,0"/>
          <v:stroke on="f"/>
          <v:imagedata o:title=""/>
          <o:lock v:ext="edit" grouping="f" rotation="f" text="f" aspectratio="f"/>
          <v:textpath on="t" fitshape="t" fitpath="t" trim="t" xscale="f" string="QZZN 田老鼠" style="font-family:楷体_GB2312;font-size:8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PowerPlusWaterMarkObject1" o:spid="_x0000_s4097" o:spt="136" type="#_x0000_t136" style="position:absolute;left:0pt;height:90.05pt;width:495.4pt;mso-position-horizontal:center;mso-position-horizontal-relative:margin;mso-position-vertical:center;mso-position-vertical-relative:margin;rotation:20643840f;z-index:-251657216;mso-width-relative:page;mso-height-relative:page;" fillcolor="#999999" filled="t" stroked="f" coordsize="21600,21600" o:allowincell="f">
          <v:path/>
          <v:fill on="t" opacity="32768f" focussize="0,0"/>
          <v:stroke on="f"/>
          <v:imagedata o:title=""/>
          <o:lock v:ext="edit" grouping="f" rotation="f" text="f" aspectratio="f"/>
          <v:textpath on="t" fitshape="t" fitpath="t" trim="t" xscale="f" string="QZZN 田老鼠" style="font-family:楷体_GB2312;font-size:8pt;v-text-align:center;"/>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jYTA2NDJkZDA2NGIxMzY0MDQ5NDE3ZWZhZmVhNjgifQ=="/>
  </w:docVars>
  <w:rsids>
    <w:rsidRoot w:val="00172A27"/>
    <w:rsid w:val="00162E4A"/>
    <w:rsid w:val="001C54B8"/>
    <w:rsid w:val="0020324B"/>
    <w:rsid w:val="00843987"/>
    <w:rsid w:val="00995BD4"/>
    <w:rsid w:val="00AA7325"/>
    <w:rsid w:val="00AD44D5"/>
    <w:rsid w:val="00CE4E81"/>
    <w:rsid w:val="00F7527E"/>
    <w:rsid w:val="335050DF"/>
    <w:rsid w:val="3B765D47"/>
    <w:rsid w:val="470A1FFB"/>
    <w:rsid w:val="52C062F7"/>
    <w:rsid w:val="5DE466E8"/>
    <w:rsid w:val="69664181"/>
    <w:rsid w:val="79104E5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cs="Courier New"/>
      <w:szCs w:val="21"/>
    </w:rPr>
  </w:style>
  <w:style w:type="paragraph" w:styleId="3">
    <w:name w:val="footer"/>
    <w:basedOn w:val="1"/>
    <w:link w:val="10"/>
    <w:qFormat/>
    <w:uiPriority w:val="0"/>
    <w:pPr>
      <w:tabs>
        <w:tab w:val="center" w:pos="4153"/>
        <w:tab w:val="right" w:pos="8306"/>
      </w:tabs>
      <w:snapToGrid w:val="0"/>
      <w:jc w:val="left"/>
    </w:pPr>
    <w:rPr>
      <w:rFonts w:eastAsia="宋体"/>
      <w:kern w:val="2"/>
      <w:sz w:val="18"/>
      <w:szCs w:val="18"/>
      <w:lang w:val="en-US" w:eastAsia="zh-CN" w:bidi="ar-SA"/>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8">
    <w:name w:val="Hyperlink"/>
    <w:qFormat/>
    <w:uiPriority w:val="0"/>
    <w:rPr>
      <w:color w:val="0000FF"/>
      <w:u w:val="single"/>
    </w:rPr>
  </w:style>
  <w:style w:type="character" w:customStyle="1" w:styleId="9">
    <w:name w:val=" Char Char"/>
    <w:qFormat/>
    <w:uiPriority w:val="0"/>
    <w:rPr>
      <w:kern w:val="2"/>
      <w:sz w:val="18"/>
      <w:szCs w:val="18"/>
    </w:rPr>
  </w:style>
  <w:style w:type="character" w:customStyle="1" w:styleId="10">
    <w:name w:val="页脚 Char"/>
    <w:link w:val="3"/>
    <w:qFormat/>
    <w:uiPriority w:val="0"/>
    <w:rPr>
      <w:rFonts w:eastAsia="宋体"/>
      <w:kern w:val="2"/>
      <w:sz w:val="18"/>
      <w:szCs w:val="1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8"/>
    <customShpInfo spid="_x0000_s4097"/>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6</Pages>
  <Words>5304</Words>
  <Characters>5422</Characters>
  <Lines>47</Lines>
  <Paragraphs>13</Paragraphs>
  <TotalTime>2</TotalTime>
  <ScaleCrop>false</ScaleCrop>
  <LinksUpToDate>false</LinksUpToDate>
  <CharactersWithSpaces>5422</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2017-02-18T16:22:00Z</dcterms:created>
  <dc:creator>QZZN 田老鼠</dc:creator>
  <dc:description>bbs.qzzn.com</dc:description>
  <cp:lastModifiedBy>沙鸥汀月</cp:lastModifiedBy>
  <dcterms:modified xsi:type="dcterms:W3CDTF">2022-07-13T05:24:50Z</dcterms:modified>
  <dc:subject>QZZN论坛精品</dc:subject>
  <dc:title>QZZN公务员考试论坛</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FA20E9FD76D6434DA821B4155CAD6D64</vt:lpwstr>
  </property>
</Properties>
</file>