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20</w:t>
      </w:r>
      <w:r>
        <w:rPr>
          <w:rFonts w:hint="eastAsia" w:ascii="宋体" w:hAnsi="宋体" w:eastAsia="宋体" w:cs="宋体"/>
          <w:b/>
          <w:bCs/>
          <w:color w:val="000000" w:themeColor="text1"/>
          <w:kern w:val="0"/>
          <w:sz w:val="28"/>
          <w:szCs w:val="28"/>
          <w:lang w:val="en-US" w:eastAsia="zh-CN"/>
          <w14:textFill>
            <w14:solidFill>
              <w14:schemeClr w14:val="tx1"/>
            </w14:solidFill>
          </w14:textFill>
        </w:rPr>
        <w:t>09</w:t>
      </w:r>
      <w:r>
        <w:rPr>
          <w:rFonts w:hint="eastAsia" w:ascii="宋体" w:hAnsi="宋体" w:eastAsia="宋体" w:cs="宋体"/>
          <w:b/>
          <w:bCs/>
          <w:color w:val="000000" w:themeColor="text1"/>
          <w:kern w:val="0"/>
          <w:sz w:val="28"/>
          <w:szCs w:val="28"/>
          <w14:textFill>
            <w14:solidFill>
              <w14:schemeClr w14:val="tx1"/>
            </w14:solidFill>
          </w14:textFill>
        </w:rPr>
        <w:t>年广西公务员考试</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lang w:val="en-US" w:eastAsia="zh-CN"/>
          <w14:textFill>
            <w14:solidFill>
              <w14:schemeClr w14:val="tx1"/>
            </w14:solidFill>
          </w14:textFill>
        </w:rPr>
        <w:t>申论</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14:textFill>
            <w14:solidFill>
              <w14:schemeClr w14:val="tx1"/>
            </w14:solidFill>
          </w14:textFill>
        </w:rPr>
        <w:t>真题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hint="eastAsia" w:ascii="宋体" w:hAnsi="宋体" w:eastAsia="宋体" w:cs="宋体"/>
          <w:b/>
          <w:bCs/>
          <w:color w:val="000000" w:themeColor="text1"/>
          <w:kern w:val="0"/>
          <w:sz w:val="21"/>
          <w:szCs w:val="21"/>
          <w:lang w:val="en-US" w:eastAsia="zh-CN"/>
          <w14:textFill>
            <w14:solidFill>
              <w14:schemeClr w14:val="tx1"/>
            </w14:solidFill>
          </w14:textFill>
        </w:rPr>
      </w:pP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14:textFill>
            <w14:solidFill>
              <w14:schemeClr w14:val="tx1"/>
            </w14:solidFill>
          </w14:textFill>
        </w:rPr>
        <w:t>一、</w:t>
      </w:r>
      <w:r>
        <w:rPr>
          <w:rFonts w:hint="eastAsia" w:ascii="宋体" w:hAnsi="宋体" w:eastAsia="宋体" w:cs="宋体"/>
          <w:b/>
          <w:bCs/>
          <w:color w:val="000000" w:themeColor="text1"/>
          <w:kern w:val="0"/>
          <w:sz w:val="21"/>
          <w:szCs w:val="21"/>
          <w14:textFill>
            <w14:solidFill>
              <w14:schemeClr w14:val="tx1"/>
            </w14:solidFill>
          </w14:textFill>
        </w:rPr>
        <w:t>注意事项</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1．本题本由给定资料与申论要求两部分构成。考试时限为150分钟。满分100分。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2．监考人员宣布考试开始时，你才可以开始答题。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3．请在答题卡指定位置填写自己的姓名，填涂（写）准考证号。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楷体" w:hAnsi="楷体" w:eastAsia="楷体" w:cs="楷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4．所有题目一律使用现代汉语，在答题卡指定位置作答。未按要求作答的，不得分。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楷体" w:hAnsi="楷体" w:eastAsia="楷体" w:cs="楷体"/>
          <w:color w:val="000000" w:themeColor="text1"/>
          <w:kern w:val="0"/>
          <w:sz w:val="21"/>
          <w:szCs w:val="21"/>
          <w14:textFill>
            <w14:solidFill>
              <w14:schemeClr w14:val="tx1"/>
            </w14:solidFill>
          </w14:textFill>
        </w:rPr>
        <w:t>5．监考人员宣布考试结束时，考生应立即停止作答，将题本、答题卡、草稿纸翻过来留在桌上，</w:t>
      </w:r>
      <w:r>
        <w:rPr>
          <w:rFonts w:hint="eastAsia" w:ascii="宋体" w:hAnsi="宋体" w:eastAsia="宋体" w:cs="宋体"/>
          <w:color w:val="000000" w:themeColor="text1"/>
          <w:kern w:val="0"/>
          <w:sz w:val="21"/>
          <w:szCs w:val="21"/>
          <w14:textFill>
            <w14:solidFill>
              <w14:schemeClr w14:val="tx1"/>
            </w14:solidFill>
          </w14:textFill>
        </w:rPr>
        <w:t>待监考人员确认数量无误、允许离开后，方可离开。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14:textFill>
            <w14:solidFill>
              <w14:schemeClr w14:val="tx1"/>
            </w14:solidFill>
          </w14:textFill>
        </w:rPr>
        <w:t>二、</w:t>
      </w:r>
      <w:r>
        <w:rPr>
          <w:rFonts w:hint="eastAsia" w:ascii="宋体" w:hAnsi="宋体" w:eastAsia="宋体" w:cs="宋体"/>
          <w:b/>
          <w:bCs/>
          <w:color w:val="000000" w:themeColor="text1"/>
          <w:kern w:val="0"/>
          <w:sz w:val="21"/>
          <w:szCs w:val="21"/>
          <w14:textFill>
            <w14:solidFill>
              <w14:schemeClr w14:val="tx1"/>
            </w14:solidFill>
          </w14:textFill>
        </w:rPr>
        <w:t>给定材料</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公共服务”无论是作为概念，作为经济、社会发展的一个标志，还是作为政府工作的一个重要内涵，很早就引起党和政府乃至普通公众的高度重视。2004年2月，温家宝总理在中央党校省部级主要领导干部“树立和落实科学发展观”专题研究班结业式上的讲话中指出：“公共服务就是提供公共产品和服务。包括加强城乡公共设施建设，发展社会就业、社会保障服务和教育、科学、文化、卫生、体育等公共事业，发布公共信息等，为社会公众生活和参与社会经济、政治、文化活动提供保障和创造条件，努力建设服务型政府。”改革开放以来，各级政府对公共服务投入逐年增长，尤其是党的十六大以来，社会矛盾的转型和政府职能的转变，促使政府更加重视改变公共支出结构，加大对公共服务的投入。据国家的相关统计分析可知，我国政府对公共服务的投入在2000年以前呈逐步增长态势，2003年以后呈快速增长态势。2003年国家财政对就业和社会保障的支出为2712.24亿元，2007年增加到5396.01亿元。基础教育进入全面普及新阶段。中等职业教育在改革中加快发展，高等教育实现历史性跨越；医疗服务能力提高，公共卫生和医疗保障体系初步建立；就业及再就业成效明显；社会保障体系逐步完善。但是，随着我国社会的进步和经济实力的增强。人们的基本需求在跨越温饱水平而向更高层次发展的时候，对公共服务水平表现出了更高的要求：期望政府与社会更新观念，建立和完善公共服务体系，拓宽公共服务领域，提高公共服务水平，以提高人们的生活质量。我们也不讳言，从目前的情况来看，我国的公共服务现状难以令人乐观，与公共服务相关的理念、措施及具体做法亟待改进，公共服务惠及民众的生活领域应该更为均衡，公共服务的水平急需提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以来，我国公共支出总量规模一直呈快速增长的趋势，从1978年的1122.09亿元增长到2005年的33930.28亿元，扩大了30倍。研究表明，如果把实际公共支出全部纳入统计，2003年，我国公共支出占GDP的比重已经达到32.55％，与发达国家30％以上、发展中国家26.4％的平均水平相比，应该说我国的公共支出总数规模基本适应了现阶段经济社会的发展水平。但是，我国公共支出结构并没有表现出同步调整。在公共支出中，经济建设支出比重偏大，而公共服务支出比重偏小。根据国家统计局的数据，2005年，我国公共支出中，社会教育支出比重为26.4％。而社会教育支出的比重自1992年以来一直提高不大，这与市经济发展对公共服务的要求相比存在一定程度的滞后。2003年，国家投入教育事业的经费为3352.14亿元，占国家财政支出总额的13.60％，2007年增加到7056.35亿元，占国家财政支出总额的14.24％：国家用于医疗卫生的支出为830.83亿元，占国家财政支出总额的3.37％，2007年增加到1973.79亿元，占国家财政支出总额的3.98％。很明显，四年过去了，国家用于教育事业的经费和用于医疗卫生的支出在国家财政支出总额的百分比增幅极小，与我们国家GDP增幅极不相称。</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国的公共产品和公共服务很长时期以来侧重满足城镇居民的需求，农村居民在公共服务方面受到的关注极少，分享财政提供的公共产品和服务水平极低。有研究表明，2005年我国名义城乡收入差距为3.22：1，若把基本公共服务，包括义务教育、基本医疗等因素考虑在内，城乡收入差距已经达到5：1到6:1。公共服务存在着城乡失衡的问题：集中表现在农村的公共服务不到位，对农民的公共服务水平大大低于对城市居民的公共服务水平。在基础教育方面，农村义务教育经费不足，办学条件差、师资水平低等现象仍然存在。2000年，城镇普通小学生均（每名学生平均以下同）预算内教育经费为953元，农村普通小学为558元，低于城镇41.5％：城镇普通初中预算内教育经费为1120元，农村普通中学为667元，低于城镇40.5％。至2004年，城镇普通小学预算教育经费为1379元，农村为1035元，低于城镇25％；城镇普通中学顶算内教育经费为1457元，农村1101元，低于城镇24.4％在卫生服务方面，占总人口30％的城市人口享受70％的卫生资源。2001～2005年，全国城市医院数增长率为13.8％，县级医院、保健院和疾病预防控制中心而乡镇卫生院和村卫生室，则分别下降14.94％和16.56％。</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地区之间的不平衡，体现在公共服务方面，也是触目惊心。以1998年我们“普九”的人口覆盖率为例，东部地区达到96.47％，中部地区达到81.87％，西部地区仅达到42.26％。当沿海发达地区已经基本普及初中教育时，西部地区则仍有三分之二的县未达到85％的普及初中标准，西部贫困的少数民族自治县则尚未普及初等教育。据专家对我们基本公共服务绩效评估的地区差异分析可知，2000—2004年问，北京、上海、天津、浙江、广东、江苏等经济发达地区的公共服务绩效明显高于中部和西部地区，其中北京、上海的得分在0.6以上，而甘肃、贵州得分为0.36左右。在社会保险方面，2005年，我国三项保险（基本养老保险、失业保险、基本医疗保险）参保人数比重，东部地区达到41.9％，中部地区为27.6％，西部地区仅为22.7％。北京为94.4％，而西部的云南为17.1％，广西为17％，西藏为10.7％。</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公共服务的行业和身份差距造成的失衡已经引起社会的强烈不满。人们的这种不满主要集中在几个方面：一是不同部门。不同属地收入天壤之别。同工不同酬，同命不同价的现象比比皆是。人们在同一个地方工作、付出的劳动代价相近或相同，但由于分属于不同的部门，会形成极大的收入差距；二是人们同在一个单位工作，由于具有不同的身份（例如编制内职工或编制外职工）、等级因素对分享基本公共服务的影响；三是农民工在获得劳动报酬、社会保障等方面总体上远远低于同居住地的城市职工，很多城市的农民工子女再教育、就业还没有被纳人城市整体公共服务体系；四是少部分人可以享受到远远超过“基本”水平的公共服务，降低了公共服务的普及性。</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介绍，重庆8000多辆合法营运的出租车中有7000多辆车的运营许可证为公司所有。根据重庆市交委数据，2008年以前的10年间，主城区仅在1997年新投放了700辆出租车。2008年初，重庆市新投放1417辆出租车，新车指标的分配仅面向有100辆车以上的公司，并按5：1的比例配置。每个新增出租车指标每年收取有偿使用费1.5万元，经营指标使用年限是8年，总计12万元。这种几乎很少增加的垄断性指标，成了出租车公司坐收暴利的稳定来源。一位出租车主说，他和公司签的合同属于“全包型”，一次性付费给公司34万元，才能拿到一部出租车4年的经营权，4年后公司只退给他不到10万元。公司不但坐吃20余万元差价，每个月还要收8000元的管理费。事实上，出租车公司每辆“天语”新车的车价加上指标费，四年总计也不出12万元。司机们在四年中支付的承包费和管理费足够买数台新车。暴利之高，称为“盘剥”也不为过。出租车公司手里拿着政府营运权证指标，平均每辆车一年获利7万多元，车主和出租车司机却只能拿到零头。国家统计局最新公布的数据显示，我国城市目前拥有出租车达96万辆，年客运总量达213亿人次。而出租车行业的上述乱象，并非仅见于重庆。</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广东是全国排行第一的柑桔产销大省。2008年初，连续的低温冰冻雨雪天气，大面积冻伤柑桔树；年中，农资价格暴涨，导致柑桔种植成本激增；年末，柑桔销售不畅，价格暴跌。2009年初，沙糖桔市场价格一路跌至历史最低点，产业萧条之声顿起，果农信心严重不足，广东柑桔产业出现危机。2009年2月28日，由南方报业传媒集团下设南方农村报社主办的“柑桔产业危机与公共服务构建”研讨会在广州召开。广东省农科院果树研究所柑桔室主任马培洽语气沉重：“不客气地说，广东在制订果树疫病防治相关的法律规则方面，比起四川、湖北来说落后很多！”目睹清远市飞来峡镇果农陆伟贤在主席台上的潸然泪下，广东省政府发展研究中心宏观处处长谭炳才无法克制自己的感情：“这个题目本来是政府来推动的，现在却是媒体来操作，企业进行赞助，我们政府惭愧不惭愧！”在市场面前，政府公共服务的缺失在柑桔产业危机中暴露无遗。</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6月22日《现代快报》报道，河南打工妹姜玉凤一无文凭，二无技术，但她看到了一条致富路。她在广州专门靠替人排队赚钱，并成立了一家排队服务公司，招了20名员工，成了中国第一个合法的“职业排队人”，现在她的月平均利润有1万元左右。她所从事的业务范围也扩展到了到了银行、超市、邮局医院和售楼中心等各种需要排队办事的公共场所。此事在网上引起了热议。有网民认为，这种职业排队人参与的范围越大，就越是一种悲哀，越能反映出在相关部门群众需求高而服务效率低下的客观现实。</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公共服务领域的腐败造成了公共资源的浪费和流失。由于公共服务的供给过程在很大程度上就是公共权利和社会资源的运用过程，因而公共服务领域的腐败的实质，就是滥用公共权利和社会资源谋取私利。其结果公共服务领域的腐败转嫁或加重了社会负担，降低了政府公信力。从近年来公开披露的腐败案件看，公共服务领域的腐败更为集中地表现在公共投资活动中。从投资立项审批到项目招标，从物质采购到施工，腐败几乎渗透到各个环节。社会上一般的估计是，一个项目投资总额经过层层“裁留”，只有50％能够进入到实施环节。虽然其中有多少是腐败造成的还不能做出总的估计，但从动辄数以亿计金额的腐败个案看，其造成的浪费和损失是惊人的。这些还不只是投资活动本身的腐败，如果把公共项目中挪作他用的部分考虑进来，腐败所造成的公共资源浪费和损失会进一步增加。而这种影响并不限于人们对政府廉洁与否的预期，而且会改变人们对公共服务供给的预期。</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安徽北部某市一家公司的董事长反映了这样一个事例：市质监部门要求企业每年的计量工具检验必须在其下属的计量所进行。而这个指定的计量所不仅检验速度慢，而且收费比其他地方贵出许多。以一百公斤的磅秤为例，指定计量所的检验费要290元，而其他单位的检验费只有150元，企业每年要为此多付出五六千元的费用。董事长一气之下决定将今年计量器的检验交由外地一家机构做，质监部门得知后一直不予认可，并反复对其进行警告，要求重新在指定地点检验，否则吊销其相关许可证。</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材料9:</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许多研究资料显示，电信、金融、保险、水电气供应、烟草等行业职工的平均工资水平是其他行业职工平均工资的2—3倍，如果再加上工资外收入和职工福利待遇上的差异，实际差距更大；垄断行业提供的产品和服务价格持续上涨，抬高了个人生活成本和社会生产成本，而社会却难以进行有效监督和制约；垄断行业在人为制造供给短缺的同时，由于没有竞争压力，改善和提高服务质量的动机普遍不强。公共服务体制制约了政府、市场、社会在公共服务供给中的有效竞争与合作，在一些本来可以发挥市场和社会组织作用的准公共品供给领域，市场竞争机制尚未建立，行业垄断并彻底打破，准入门槛高、管制严，公共服务的质量和效率低。如供水、供电、供气、城市公交，铁路、航空等行业，同时生产者和监管者双重身份，必然影响竞争的有序和公平。</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材料10:</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零点研究咨询集团对2006—2007年公共服务公众评价指数的调查，24.8％的公众认为政府公共服务水平比较高，41.5％认为一般，25.9％认为比较低或很低。另据，陈昌盛，蔡越洲等对中国政府公共服务的综合绩效评价认为“我国基本公共服务综合绩效处于偏低水平，除基础教育北京达到A级、一般公共服务上海，北京达到A级以外，其他各地区各类公共服务绩效等级都处于B级以下；从2000—2004年五年平均水平看，则所有地区基本公共服务综合绩效处于B级”。这两项调查表明，无论是从公共服务主题的投入、产出绩效的角度评估，还是从公共服务对象的公众满意方面评估，目前我国公共服务的总体水平都不容乐观。尤其是与世界某些国家的公共服务水平比较，我国公共服务的总体供给能力与水平都存在较大差距。2004年，我国公共教育支出占CDP的2.79％，而美国为5.86％，美国为5.48％，法国为6.02％，德国的为4.77％，日本为3.65％，印度为3.26％，菲律宾为3.22％。而且，20世纪90年代以来，我国居民在教育、医疗、社会保障等基本公共服务方面个人承担的费用迅速上涨，大大超过中低收入家庭可支配收入的增长速度。</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材料11:</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2004年，哈尔滨依托国家开发银行和丹麦政府的贷款运作了供热区域超1000万平米，造价达17.9亿元的道里集中供热项目。这一被誉为“蓝天白雪”工程的大项目建成后，环保效果、供热质量大幅提升。全市拆除小锅炉房、大烟囱百余个，冬季的烟尘排放量降低数千吨，市区空气质量明显好转。工程建成了，问题也接踵而来。因为无力向贷款方偿还每年近1亿元的利息，历尽艰辛把这个工程搞起来的供热企业不得不为它找了个外资“婆家”。2007年哈尔滨又启动了西南部集中供热工程，因为融资困难，最后就直接卖给法国达尔凯公司了。哈尔滨市供热办冯戈解释，供热行业很有必要搞大的集中供热工程，但大工程投资大，收效慢，要靠收供热费，在保本息利的情况下，几十年才能收回来。“但是你初期投资的钱都是从银行借的，因为总额大，所以利息特别高。我感觉政府的扶持力度太不够了。供热既然带有公益性质，政府就有责任投入，不能仅仅靠企业自力更生。”冯戈坦言,他自己都很担心：“你把热企业卖给外国人后政府还能控制热价吗？还能坚持半公益的方向吗？真出了突发事故外国人能对人民负责吗？”</w:t>
      </w:r>
      <w:bookmarkStart w:id="0" w:name="_GoBack"/>
      <w:bookmarkEnd w:id="0"/>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default"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t>三、作答要求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请用不超过150字的篇幅，概括给定资料所反映的主要问题。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请用不超过300字的篇幅，就给定资料所反映的问题提出对策和建议。</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要体现针对性和可操作性。</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就材料3所反映的主要问题。自拟题目，写一篇1200～1500字的议论文。</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中心明确，论点正确，论据充分，论证严密，有说服力，层次清晰，书写规范。</w:t>
      </w:r>
    </w:p>
    <w:p>
      <w:pPr>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br w:type="page"/>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line="288" w:lineRule="auto"/>
        <w:ind w:firstLine="562" w:firstLineChars="200"/>
        <w:jc w:val="center"/>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20</w:t>
      </w:r>
      <w:r>
        <w:rPr>
          <w:rFonts w:hint="eastAsia" w:ascii="宋体" w:hAnsi="宋体" w:eastAsia="宋体" w:cs="宋体"/>
          <w:b/>
          <w:bCs/>
          <w:color w:val="000000" w:themeColor="text1"/>
          <w:kern w:val="0"/>
          <w:sz w:val="28"/>
          <w:szCs w:val="28"/>
          <w:lang w:val="en-US" w:eastAsia="zh-CN"/>
          <w14:textFill>
            <w14:solidFill>
              <w14:schemeClr w14:val="tx1"/>
            </w14:solidFill>
          </w14:textFill>
        </w:rPr>
        <w:t>09</w:t>
      </w:r>
      <w:r>
        <w:rPr>
          <w:rFonts w:hint="eastAsia" w:ascii="宋体" w:hAnsi="宋体" w:eastAsia="宋体" w:cs="宋体"/>
          <w:b/>
          <w:bCs/>
          <w:color w:val="000000" w:themeColor="text1"/>
          <w:kern w:val="0"/>
          <w:sz w:val="28"/>
          <w:szCs w:val="28"/>
          <w14:textFill>
            <w14:solidFill>
              <w14:schemeClr w14:val="tx1"/>
            </w14:solidFill>
          </w14:textFill>
        </w:rPr>
        <w:t>年广西公务员考试</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lang w:val="en-US" w:eastAsia="zh-CN"/>
          <w14:textFill>
            <w14:solidFill>
              <w14:schemeClr w14:val="tx1"/>
            </w14:solidFill>
          </w14:textFill>
        </w:rPr>
        <w:t>申论</w:t>
      </w:r>
      <w:r>
        <w:rPr>
          <w:rFonts w:hint="eastAsia" w:ascii="宋体" w:hAnsi="宋体" w:eastAsia="宋体" w:cs="宋体"/>
          <w:b/>
          <w:bCs/>
          <w:color w:val="000000" w:themeColor="text1"/>
          <w:kern w:val="0"/>
          <w:sz w:val="28"/>
          <w:szCs w:val="28"/>
          <w:lang w:eastAsia="zh-CN"/>
          <w14:textFill>
            <w14:solidFill>
              <w14:schemeClr w14:val="tx1"/>
            </w14:solidFill>
          </w14:textFill>
        </w:rPr>
        <w:t>》</w:t>
      </w:r>
      <w:r>
        <w:rPr>
          <w:rFonts w:hint="eastAsia" w:ascii="宋体" w:hAnsi="宋体" w:eastAsia="宋体" w:cs="宋体"/>
          <w:b/>
          <w:bCs/>
          <w:color w:val="000000" w:themeColor="text1"/>
          <w:kern w:val="0"/>
          <w:sz w:val="28"/>
          <w:szCs w:val="28"/>
          <w14:textFill>
            <w14:solidFill>
              <w14:schemeClr w14:val="tx1"/>
            </w14:solidFill>
          </w14:textFill>
        </w:rPr>
        <w:t>真题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pP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第1题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请用不超过150字的篇幅，概括给定资料所反映的主要问题。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1.这是一道典型的概括题，答案全部来源于材料；2.需要通篇阅读，定位材料；3.注意只要概括问题，不需要提原因和对策；4.字数限制非常，不超过150字，语言表达一定要简练。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概括题一般都可以在材料里找到答案，通过阅读我们可以简单地归纳下段落大意，然后找到问题，问题主要集中在1、2、3、7、9这五则材料。材料1指出了公共服务投入水平不高；材料2对比指出我国公共支出的结构不合理，经济建设支出比重偏大，而公共服务支出比重偏小；材料3举例说明了公共服务存在着城乡失衡以及地区失衡的问题；材料7分析了公共服务领域的腐败带来的危害；材料9通过研究资料说明了垄断行业带来的危害，并据此引出公共服务体制的漏洞，公共服务的质量和效率低。</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总体水平不高，公共支出结构不合理，公共服务支出比重偏小，难以满足民众需求；2.公共产品和公共服务供给不均衡，城乡、地区和行业、阶层之间差距悬殊；3.部分部门和行业公共服务效率低下，在行业监管、产业扶持等问题上公共服务缺失；4.公共服务领域存在腐败问题，不仅浪费资源，也影响了政府公信力。</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第2题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请用不超过300字的篇幅，就给定资料所反映的问题提出对策和建议。</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要体现针对性和可操作性。</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1.这是一道典型的对策题，针对第一题中的问题给出对策，具有针对性。2.字数限制，不超过300字。3.可操作性，要考虑对策的主体、对象、内容、方式以及效果等，避免空谈。</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通过审题，这道题我们需要根据问题来反推对策，注意借用材料中关于对策的一些表述。同时注意在语言表达上体现逻辑性，可以按照第一题呈现的问题的顺序写出对策。另外，表达上要有总括句和分析句，体现可操作性。</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加大政府公共服务支出。按照建立公共财政体制的要求，增加政府在教育、医疗、社会保障等领域的财政投入，适应经济社会发展和人民生活改善的需要。2.加大对农村、中西部地区和弱势群体的扶持和政策倾斜力度。增强地方政府提供公共服务的能力，加快建立和完善公共服务体系，实现公共服务资源的均衡分布。3.改革完善公共服务体制。在准公共品供给领域引入市场竞争机制，实现政府和社会的有效监管与监督，提高公共服务的质量和效率。4.完善行政问责制度。强化公共服务领域的监督,规范政府行为,遏制和预防腐败现象,提高政府的执行力和公信力。</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val="0"/>
          <w:i w:val="0"/>
          <w:caps w:val="0"/>
          <w:color w:val="000000" w:themeColor="text1"/>
          <w:spacing w:val="0"/>
          <w:sz w:val="21"/>
          <w:szCs w:val="21"/>
          <w14:textFill>
            <w14:solidFill>
              <w14:schemeClr w14:val="tx1"/>
            </w14:solidFill>
          </w14:textFill>
        </w:rPr>
      </w:pP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第3题</w:t>
      </w:r>
      <w:r>
        <w:rPr>
          <w:rFonts w:hint="eastAsia" w:ascii="宋体" w:hAnsi="宋体" w:eastAsia="宋体" w:cs="宋体"/>
          <w:b/>
          <w:bCs w:val="0"/>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b/>
          <w:bCs w:val="0"/>
          <w:i w:val="0"/>
          <w:caps w:val="0"/>
          <w:color w:val="000000" w:themeColor="text1"/>
          <w:spacing w:val="0"/>
          <w:sz w:val="21"/>
          <w:szCs w:val="21"/>
          <w:shd w:val="clear" w:fill="FFFFFF"/>
          <w14:textFill>
            <w14:solidFill>
              <w14:schemeClr w14:val="tx1"/>
            </w14:solidFill>
          </w14:textFill>
        </w:rPr>
        <w:t>就材料3所反映的主要问题。自拟题目，写一篇1200～1500字的议论文。</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中心明确，论点正确，论据充分，论证严密，有说服力，层次清晰，书写规范。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审题要点：</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1.针对材料3反映的问题提出对策，不能偏题、跑题。2.议论文的基本要求，论点、论据、论证缺一不可，特别是要注意论证充分。3.书写规范，注意卷面。</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解题思路：</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材料3举例说明了公共服务存在着城乡失衡以及地区失衡的问题，并分析了公共服务的行业和身份差距造成的失衡已经引起社会的强烈不满。因此，我们作文的主体应该围绕“城乡失衡”和“地区失衡”以及“行业和身份差异”三个方面来展开。而且，根据整篇文章的立意倾向，我们可以把文章重点放在对策上。按照提出问题、分析问题和解决问题的结构来构思。第一段提出问题，目前的公共服务水平还不尽如人意，突出反映在城乡、地区、群体之间享有的公共服务差距较大，提出总论点——亟加快建立和完善公共服务体系、实现基本公共服务均等化；第二、三段，分析解决公共服务问题的必要性和紧迫性；第四段过渡段，统领分论点，也就是我们的对策；接下来，在第五、六、七、八这四个自然段提出我们的分论点——要加快推进我国基本公共服务均等化的进程，当务之急是明确政府责任，强化政府的公共服务职能；强化财政对公共服务的支撑作用，加大在公共服务领域的财政投入；重视公共财政的资金投入对农村、中西部地区和弱势群体的倾斜；完善行政问责制度，保证政府责任的充分落实。第九自然段总结升华。</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参考解析：</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让公共服务回归公平旨归</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——实现基本公共服务均等化</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子曰：“有国有家者，不患寡而患不均，不患贫而患不安”，社会分配的不公在任何国家、任何社会发展阶段，都是造成社会不稳定和利益冲突的一个重要原因。因为分配不公，会使社会矛盾加剧、问题丛生、难以稳定，所以社会再分配是解决社会不公问题的基本途径。而公共服务是社会再分配的重要方式，是政府的基本职能之一，是实现社会公平的基本途径。</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公共服务属于公共资源，是公平分配的重要内容；公平性是公共服务的基本属性。因而公共服务和公平两者之间建立起了相互交融难以割舍的联系，公共服务公平成为了公共服务的基本价值依归。</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以来，各级政府对公共服务投入逐年增长，尤其是党的十六大以来，社会矛盾的转型和政府职能的转变，促使政府更加重视改变公共支出结构，加大对公共服务的投入。但是，与群众日益提高的要求和期望相比，目前的公共服务水平还不尽如人意，突出反映在城乡、地区、群体之间享有的公共服务差距较大。</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数据显示，如把基本公共服务，包括义务教育、基本医疗等因素考虑在内，我国城乡收入差距已达5～6：1。公共服务领域的城乡失衡问题，集中表现在农村的公共服务不到位，农民享有的公共服务水平大大低于城市居民的水平。同时，东部发达地区与中西部欠发达地区之间的公共服务差异极为明显，公共服务的行业和身份差距造成的失衡也已经引起社会的强烈不满。</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公共服务的差距问题如不及时妥善解决，难免会像孔子所警示的由不均导致不安，影响我国构建和谐社会与全面建设小康社会的进程。加快建立和完善公共服务体系、实现基本公共服务均等化迫在眉睫，势在必行。</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明确政府责任，强化政府的公共服务职能。要把十七大“健全政府职责体系，完善公共服务体系”、“注重实现基本公共服务均等化”的要求贯彻到政府自身建设中去，通过深入宣传教育，促进各级政府牢固树立公共服务的理念，切实把改善民生、提供基本公共服务、维护公共利益作为政府第一位的职责，立足实际，认真研究法律、制度等层面的措施及具体做法，坚持以建设为全体社会公众服务的服务型政府为目标，扎实不懈地推进各项公共服务工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强化财政对公共服务的支撑作用，加大在公共服务领域的财政投入。要按照建立公共财政体制的要求，改变原有公共支出结构不合理的情况，增加政府在教育、医疗、社会保障等领域的财政投入，适应经济社会发展和人民生活改善的需要。</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重视公共财政的资金投入对农村、中西部地区和弱势群体的倾斜。通过改革财政收入和预算分配制度，加大中央财政和省财政对农村、贫困地区的扶持力度，增强地方政府提供公共服务的能力，帮助贫困落后地区加快建立和完善公共服务体系，实现公共服务资源的均衡分布，促进城乡之间、地区之间、不同社会群体之间平等享受政府提供的基本公共服务。</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完善行政问责制度，保证政府责任的充分落实。要建立行政公开与行政问责相结合的政府公共服务行为问责制度，将公共服务的质量和效率纳入政绩考核体系，对开展公共服务履行职责不力者进行问责追究，业绩突出者给予相应的奖励，从而强化政府做好公共服务的动力，保证各级政府切实履行职责，为公众提供满意的公共服务。</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国经济实力的日益增强、财政收入的不断增加，为政府做好公共服务提供了雄厚的物质基础。只要我们坚持“均等化”的正确方向，向着服务型政府的目标不断迈进，一定能够适应社会的进步，充分满足广大公众对基本公共服务的需求，促进社会和谐与持续发展。</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862485"/>
    <w:rsid w:val="00016999"/>
    <w:rsid w:val="003D653F"/>
    <w:rsid w:val="006E1652"/>
    <w:rsid w:val="00862485"/>
    <w:rsid w:val="00A95549"/>
    <w:rsid w:val="00D50AFD"/>
    <w:rsid w:val="00E31BB4"/>
    <w:rsid w:val="00F82A2C"/>
    <w:rsid w:val="2B5A5AD5"/>
    <w:rsid w:val="2DD106A8"/>
    <w:rsid w:val="48C92288"/>
    <w:rsid w:val="534F2309"/>
    <w:rsid w:val="54857B85"/>
    <w:rsid w:val="54DE4576"/>
    <w:rsid w:val="7E9242B0"/>
    <w:rsid w:val="7FFF0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8547</Words>
  <Characters>8959</Characters>
  <Lines>68</Lines>
  <Paragraphs>19</Paragraphs>
  <TotalTime>3</TotalTime>
  <ScaleCrop>false</ScaleCrop>
  <LinksUpToDate>false</LinksUpToDate>
  <CharactersWithSpaces>8959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沙鸥汀月</cp:lastModifiedBy>
  <dcterms:modified xsi:type="dcterms:W3CDTF">2022-07-13T05:28:04Z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39EBCD68CD2B4CBD815E3270F26177D7</vt:lpwstr>
  </property>
</Properties>
</file>