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2019年公务员多省联考《申论》真题（广西</w:t>
      </w:r>
      <w:r>
        <w:rPr>
          <w:rFonts w:hint="eastAsia" w:cs="宋体"/>
          <w:b/>
          <w:bCs/>
          <w:color w:val="000000" w:themeColor="text1"/>
          <w:sz w:val="28"/>
          <w:szCs w:val="28"/>
          <w:lang w:val="en-US" w:eastAsia="zh-CN"/>
          <w14:textFill>
            <w14:solidFill>
              <w14:schemeClr w14:val="tx1"/>
            </w14:solidFill>
          </w14:textFill>
        </w:rPr>
        <w:t>B</w:t>
      </w:r>
      <w:r>
        <w:rPr>
          <w:rFonts w:hint="eastAsia" w:ascii="宋体" w:hAnsi="宋体" w:eastAsia="宋体" w:cs="宋体"/>
          <w:b/>
          <w:bCs/>
          <w:color w:val="000000" w:themeColor="text1"/>
          <w:sz w:val="28"/>
          <w:szCs w:val="28"/>
          <w14:textFill>
            <w14:solidFill>
              <w14:schemeClr w14:val="tx1"/>
            </w14:solidFill>
          </w14:textFill>
        </w:rPr>
        <w:t>卷）</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一、注意事项</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1.本题本由给定资料、题目及作答要求两部分构成。考试总时限为150分钟。其中，阅读给定资料参考时限为40分钟，作答参考时限为110分钟。</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2.请在题本、答题卡指定位置上用黑色字迹的钢笔或签字笔填写自己的姓名和准考证号，并将条形码粘贴在答题卡的“贴考生条形码区”，超出虚线的粘贴无效。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3.请用黑色字迹的钢笔或签字笔在指定的答题区域内作答。在非指定位置作答或用铅笔作答的，答案无效。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4.待监考人员宣布考试开始后，方可开始答题。</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5.所有题目一律使用现代汉语作答。在作答时，不得出现本人姓名，答题中凡出现本人姓名者作违纪处理。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14:textFill>
            <w14:solidFill>
              <w14:schemeClr w14:val="tx1"/>
            </w14:solidFill>
          </w14:textFill>
        </w:rPr>
        <w:t>6.监考人员宣布考试结束时，考生应立即停止作答，将题本、答题卡和草稿纸留在桌上，待监考人员确认数量无误、允许离开后，方可离开。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bCs/>
          <w:color w:val="000000" w:themeColor="text1"/>
          <w:sz w:val="21"/>
          <w:szCs w:val="21"/>
          <w14:textFill>
            <w14:solidFill>
              <w14:schemeClr w14:val="tx1"/>
            </w14:solidFill>
          </w14:textFill>
        </w:rPr>
        <w:t>严禁折叠答题卡!</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二、给定材料</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材料1</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走进新凤村，这里林木环绕、空气清新、道路整洁、民居井然有序，但在四年前，新凤村还是个破败萧条的贫困村，这个村为何能在这么短的时间里发生如此大的变化呢？笔者满怀好奇地向当地的同志问到：“新凤村的喜人局面从何而来？”对方笑答：“因为这里有一批‘土专家’”。他们都是土生土长的当地人，对社情民意清楚得很，这些“土专家”在脱贫攻坚中结合新凤村的实际，干了不少专业的事。</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新凤村党支部书记老谭，今年31岁，是本村的种植大户。担任书记后，看到村里的面貌依旧落后，乡亲们的生活依旧贫困。他心急如焚，总想为乡亲们办点事。新凤村作为贫困村，产业发展滞后一直是该村脱贫致富的“绊脚石”。为此，2015年以来，老谭带领村干部自费考察十余次，选定了适合本村发展的西瓜、二荆条辣椒和脆红李等三个主导产业项目。项目有了，谁来做“第一个吃螃蟹的人”？对此，群众都持观望态度。作为书记，老谭把自家的7.2亩土地当成“试验田”，还以高出市场价的价格承包了村民土地300余亩，从外地引进种子、种苗，聘请技术人员指导，分片种上了西瓜、二荆条辣椒和脆红李。老谭为什么敢身先士卒做试验？照他的话说，“自己和泥土打了一辈子交道，虽然没有上过大学，但喜欢钻研果蔬种植技术，对这方水土的脾气还是很了解”。身先士卒之际，老谭又接连组织召开党员大会，苦口婆心号召党员带头干。一批“党员试验田”很快建成。“党员试验田”里，西瓜、二荆条辣椒种植当年就见到了效益；最初试种的脆红李三年后就进入丰产期，平均亩产达到3000公斤，见到“党员试验田”的效益后，乡亲们竞相种植。老谭不仅亲自当起技术员，还自费为村民提供种苗。如今，新凤村西瓜、二荆条辣椒和脆红李“三个一千亩”种植基地初成规模，带动了466户群众实现增收致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我们这的土鸡，可好啦！”老秦是村里养鸡场的主人，一说到鸡，他就滔滔不绝，“在这儿，鸡全部都是传统养殖的。”他说，“过去由于交通闭塞，我们县的土鸡因为和外界交流少，品种特色保留得好，我们这里水好、土好、品种好。而且这几年，我通过反复试验，摸索出了纯粮饲料配方，饲养出的鸡品相好、口感好。”在老秦眼里，土鸡和其它农产品一样，要土生土养，但营销必须要现代化，要跟得上时代。“我们有很多年卡会员，客人们年初交费办一张年卡，我们每个月给他们配送土鸡。这样，顾客得到一定折扣，我们也有了更多的现金流。”现在，老秦的养鸡场光年卡会员客户就有上千人，仅此一项，营业额便达四百余万元。生意的兴旺更带动村里十几个村民就业。</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产业发展的同时，新凤村还积极启用“土法官”建设和谐邻里关系，着力提升美丽乡村的“气质”。该村组建了“土法官”民事纠纷调解小组。这些“土法官”由熟悉民风习俗，有一定威望、明事理、懂法律的人员担任。“大家都乡里乡亲的，之前两家关系也不错，为这点蝇头小利闹翻，值得吗？”“房屋复耕后土地属于集体，你们两家人都没有所有权，你们知道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土法官”们就是用这种朴实的语言调解了不少鸡毛蒜皮的矛盾纠纷。自实行“土法官”制度以来，新凤村成功调解民事纠纷20余件，成功率达100%。村民现在对这种调解方式心服口服，这极大地促进了文明乡风建设。</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材料2</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前啊，这里很多老房子被废弃，濒临倒塌。屋顶残破，梁柱上出现斑斑点点的虫眼……像奄奄一息的病人。”XN村支书老王对从省里来调研的小姚介绍道，“屋里不亮堂，杂草丛生，墙体垮塌，有的连横梁都断裂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“那时候，这儿的老房子基本没人住。我也跟着儿子去了县城，时不时回来一趟，可村子都空了。”村民吴大妈回忆时也不无叹息，“修得再漂亮，没人住也就是个屋子，没有人味儿！”</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作家阿敏是XN村的租客，她已在村里住了些年头了。“我曾经离开过一段时间。因为那时候这里人越来越少，没有种田、犁地、收谷、摘果等生产活动，没有欢歌，没有笑语。这里成了‘空心村’，没有真正的生活气息，没有我想要的乡村民居的味道。”</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“再不行动起来，要不了几年，我们村就将不复存在了！”当时，这样的警告在老王脑袋里响起。“我们的房子大部分不属于文物级别，没有办法申请经费修葺，但我们自己也得想办法，赶紧行动起来啊。”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2010年春，在老王和热心村民老冯的牵头下，全村人合力捐款捐物，自筹4万多元，对村里最具特色和保护价值的Y堂大宅院正屋破损部位进行了集中修缮，制定了以“保护环境、不准私占、清理整洁、损坏赔偿”等为基本内容的大宅院保护公约。此后，村民们自发成立了村志愿队，不仅承担了公共区域保洁工作，更常常挨家挨户地排查危房安全隐患，宣传自用民屋的日常修葺维护常识。“房子嘛，最怕水和火。没有住就容易坏掉，人住着，房子有点啥问题也能及时察觉。本来随便弄弄就能解决的小问题，因为没人，几年下来，就成大问题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XN村请相关部门对全村有文物保护、旅游等方面价值的民居进行了清理，并划定了保护区域网格，立起了保护标志。而村民们更是主动当起了网格员，协助建立各栋民居的档案。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这几年，返乡的人越来越多，村里又有了生气。人回来了，自然是要居住的，这时候再不行动就没有道理了。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“现在，村里用土地流转办联合社赚到的钱，给大家改善了供水供电和通讯条件。住起来确实比以前舒服多啦。”吴大妈说道，“能住得舒服，谁不爱自己的老家呢?”</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在调研完XN村自发的民居保护工作后，小姚在笔记上写道:</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u w:val="single"/>
          <w14:textFill>
            <w14:solidFill>
              <w14:schemeClr w14:val="tx1"/>
            </w14:solidFill>
          </w14:textFill>
        </w:rPr>
        <w:t>有居民，方有民居</w:t>
      </w:r>
      <w:r>
        <w:rPr>
          <w:rFonts w:hint="eastAsia" w:ascii="宋体" w:hAnsi="宋体" w:eastAsia="宋体" w:cs="宋体"/>
          <w:color w:val="000000" w:themeColor="text1"/>
          <w:sz w:val="21"/>
          <w:szCs w:val="21"/>
          <w14:textFill>
            <w14:solidFill>
              <w14:schemeClr w14:val="tx1"/>
            </w14:solidFill>
          </w14:textFill>
        </w:rPr>
        <w:t>。和巍峨雄伟的皇宫比，民居更能代表中国的人文精神和生命血脉。它是家，是安身之处和心灵寄托。但保护再重要，也要以人为本、与时俱进。在民居保护工作中，我们要避免两个极端：一是过于追求“原汁原味”，只强调对民居原貌的修葺和保持，忽视甚至限制必要的现代化改造。这样的民居难以满足人们的生活需求，最后只会导致“人去屋空”。而另一个则是过度的现代化甚至是商业化的改造。比如某些古街改造，把各个时期的旧民居改建成清一色的仿古建筑，沿路店面几乎全在经营衣服、箱包，成了“服饰箱包一条街”，它们是商业之地，却不是人们生活之所。</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材料3</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野猪成群结队，一晚上能毁几十亩玉米、马铃薯。”时下正值马铃薯、玉米成熟收获的季节，但星月村的村民怎么也高兴不起来。“野猪太多了，防不胜防，村里已有几百亩庄稼被毁了。”村民对记者小侯表示，野猪已成为他们最头疼的事。星月村位于东山生态圈边缘，与小沟林场相邻，村里的庄稼地与林区相接。“上了年纪的村民都知道，那个林场可是野猪的‘老窝啊’。”村民说道。</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野猪经常光顾玉米地。“这些地里的玉米棒都被吃了，只剩下玉米杆。”村民老李指着玉米地说，“去年也有人告诉我们尽量不要种玉米、马铃薯这些野猪特别爱吃的作物，可是你看看我们这里的土地，就适合种玉米、马铃薯。野猪就是杂食动物，什么都吃。”同时，小侯还看到，在成片的玉米地中间，有几块绿油油的燕麦地，村民马大姐正忙着收割燕麦。“燕麦没有成熟，怎么就收了？”小侯提出疑问。“野猪毁了玉米，下山没有吃的，就毁坏燕麦、冬小麦。抓紧收割，有了麦穗起码还能当作饲料用。”</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十年前，野猪开始在村里出没，当时出现的次数和数量比较少，一个月能见到一两次。”老李介绍。最近几年，野猪成群结队出现，一般三五只，最多十几只。一只野猪一晚上就能毁坏十几亩庄稼，十几只野猪在庄稼地里肆意毁坏的程度就更严重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小侯走在小沟林场附近，时不时可以看到野鸡从庄稼地、林间草地惊飞而起。“野鸡、野免、野猪在这里太常见了。”老护林员老张说，他们巡林时，经常看到成群的野猪。过去，林场主要依靠砍伐木材和种植经济林维持发展，生态破坏比较严重，很多野生动物迁徙到其他地方。如今，经过十几年退耕还林、封山禁牧，林区生态逐渐恢复，空气清新、景色宜人，吸引了不少人来游玩，但生态系统仍然很脆弱，没有达到“自愈”的能力。“野猪等野生动物逐渐迁回，生物链没有完全形成，他们现在没天敌，只能让他们这么‘嚣张’。”老张表示。</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经常有外地人来到村里，希望村民配合捕杀野猪，但均被村民拒绝。”老张说，虽然村民对野猪毁坏庄稼既无奈又“痛恨”。但这些年的普法宣传工作做得扎实，村民们都知道野猪不能随意捕杀，只是采取温和的方法驱逐。</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材料4</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近二十年来，农家乐在全国各地兴起，成为发展乡村旅游，振兴乡村经济的重要支点。然而，令人吃惊的是，作为我国农家乐发源地之一的P县，近两年的农家乐发展却略显颓势。原因何在？出路何在？下面是P县当地论坛中一些网友的说法：</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●交通是永远的痛啊。有的没有公交通达，有的没有停车场，路况差，到处坑坑洼洼的。这么差的交通条件把不少慕名而来的客人赶跑了。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●一些农家乐太老了，建的时候就是以农民自己的宅院为底本，腾出几间空闲屋子当客房，打扫出院子当活动场所，洗手池、厕所、浴室等都是一家农家乐就一个，这些很影响消费体验。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●说句实话，都是千篇一律的钓鱼、打牌、吃饭等活动，没有特色，去了其中一家，就等于去了所有农家乐，怎么会有回头客呢？</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●一些店家在餐饮加工时，生食、熟食没有分区。我还观察了他们用的食材，有的没有商标、生产日期，一问才知道这些东西都是在附近的无证小作坊里买的。我不敢再去了。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说起这个我就生气，上次去体验捉土鸡、拣土鸡蛋，结果那些鸡比菜市场的饲料鸡都肥，怎么可能是土鸡呢？一问老板，老板还笑嘻嘻地说：“现在哪去找土鸡？我这土生土长，吃饲料长大的鸡，就算是土鸡了。”他们很多蔬果也是直接在市场上买的，根本不是自己种的，却以“农家自种自养”为噱头，收费昂贵。</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P县有300多年历史，有那么丰富的民俗风情、农耕文化、民间技艺资源。可是，我在当地的农家乐里完全看不到它们的影子。这里和其他地方的农家乐真的没有什么不同。而且，放养的猫狗等牲畜、临河的地理位置、不符合安全标准的简陋的跷跷板等，都让我为来这里玩的孩子们担心。</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住农家屋，吃农家饭，干农家活，享农家乐。其实，农家乐的优势在“农”字，乡村风光、农家饭菜、农事活动是吸引游客的法宝。农家乐要在深度挖掘民俗风情、农耕文化、民间技艺等乡土文化资源上下功夫。</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P县农家乐要发展，其协会应该发挥作用。而不是像现在只是给当地农家乐挨家挨户地发一块“P县农家乐协会成员单位”的牌子，其他时候却完全隐形。协会本身有规范行业管理、促进有序竞争和可持续发展的义务</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cs="宋体"/>
          <w:b/>
          <w:bCs/>
          <w:color w:val="000000" w:themeColor="text1"/>
          <w:sz w:val="21"/>
          <w:szCs w:val="21"/>
          <w:lang w:val="en-US" w:eastAsia="zh-CN"/>
          <w14:textFill>
            <w14:solidFill>
              <w14:schemeClr w14:val="tx1"/>
            </w14:solidFill>
          </w14:textFill>
        </w:rPr>
      </w:pPr>
      <w:r>
        <w:rPr>
          <w:rFonts w:hint="eastAsia" w:cs="宋体"/>
          <w:b/>
          <w:bCs/>
          <w:color w:val="000000" w:themeColor="text1"/>
          <w:sz w:val="21"/>
          <w:szCs w:val="21"/>
          <w:lang w:val="en-US" w:eastAsia="zh-CN"/>
          <w14:textFill>
            <w14:solidFill>
              <w14:schemeClr w14:val="tx1"/>
            </w14:solidFill>
          </w14:textFill>
        </w:rPr>
        <w:t>材料5：</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近日，王家村党支书老王带领村支两委一行来到“农家书屋示范村”兴隆村考察学习。以下是考察学习的相关情况：</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“我们这个农家书屋占地300多平方米，不仅有9000多册图书，还有8台电脑呢！设有开放阅读区、老年人沙龙活动区、儿童阅读区、借阅工作区等。”兴隆村党支书老马介绍道。</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早上有老人下棋，下午有学生看书写作业，周末文化活动更多。”村民颜大妈笑着说，“以前大家业余生活就是聊天打牌。这里，给老人和孩子们张罗了一个好去处。这里一周七天都开着门，平时能看看书、上上网，多了解一下外面的世界。到了周末还有‘兴隆故事会’、放电影、科普宣传讲座，这些活动都挺有意思的。有了这个书屋，我们觉得生活有滋有味。”</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共建共享是我们的理念，这里对全村村民免费开放。”书屋管理员小蔡介绍道，“当初建这个书屋时不仅得到县、镇的支持，也受到村里群众的欢迎。这里有4000本图书、2台电脑是村民们自发捐的。这里的近万册图书覆盖了农业生产、农村生活、儿童科教等多个方面，并严格按照《中国图书馆分类法》编码分类，各种图书非常好找。针对儿童阅读速度快、阅读需求量大的特点，我们与邻村的书屋会定期轮换儿童图书，让它们在农村‘转’起来。”</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现在，更多的村民成了农家书屋的常客，在病虫害防治、生产技术改良、市场需求变化等问题上，村民都学会了主动从书籍和网络上寻找答案。年过六旬的村民老韦说：“前些年市里有个扶贫项目，免费为我们引进了一种新柿子，价钱能比老品种高五六倍。就是需要砍了老树嫁接，大家大眼看小眼，谁都不行动。现在想想啊，这都是因为不晓得村外的世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孩子们一到放学就会到书屋里来做作业，看看课外书。每到周日，这里就更是孩子们的乐园，看书、画画、练字……”管理员小蔡说，“村民以前最担心的就是一到放学放假，孩子到处乱跑有危险。自从农家书屋开设这个免费的课后托管中心，孩子们放学就可以来这里写作业，管理员也能稍微辅导一下；放假了还有大学生志愿者来支教，这给家长们帮了大忙，毕竟，阅读、作业、课后辅导，都是孩子成长中的大事啊。”</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我们的农家书屋不仅仅有图书馆的作用，它也是一个微型的农村电商服务中心和培训基地。”老马书记骄傲的介绍道，“我们兴隆村不是家家户户都拉了网线，买了电脑，村民也不是人人都熟悉电脑操作，所以我们利用农家书屋的联网电脑提供农村电商培训和服务。这样，我们的柿子、土蜂蜜、杏干等土特产都不差销路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这种“农家书屋+电商”的模式极大地增加了农家书屋的吸引力，使农家书屋人气大增。越来越多的村民在书屋工作人员的帮助下，开起网店，做起电商。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default" w:cs="宋体"/>
          <w:b w:val="0"/>
          <w:bCs w:val="0"/>
          <w:color w:val="000000" w:themeColor="text1"/>
          <w:sz w:val="21"/>
          <w:szCs w:val="21"/>
          <w:lang w:val="en-US" w:eastAsia="zh-CN"/>
          <w14:textFill>
            <w14:solidFill>
              <w14:schemeClr w14:val="tx1"/>
            </w14:solidFill>
          </w14:textFill>
        </w:rPr>
      </w:pPr>
      <w:r>
        <w:rPr>
          <w:rFonts w:hint="default" w:cs="宋体"/>
          <w:b w:val="0"/>
          <w:bCs w:val="0"/>
          <w:color w:val="000000" w:themeColor="text1"/>
          <w:sz w:val="21"/>
          <w:szCs w:val="21"/>
          <w:lang w:val="en-US" w:eastAsia="zh-CN"/>
          <w14:textFill>
            <w14:solidFill>
              <w14:schemeClr w14:val="tx1"/>
            </w14:solidFill>
          </w14:textFill>
        </w:rPr>
        <w:t>在书屋外墙上，有大字标语写着“让兴隆的优质农产品不再难卖”，各种包装精美的产品排列整齐。管理员小蔡说，书屋不但帮村民卖农产品，还为他们代收快递、代缴水电费用等，这极大地方便了大家的生活。</w:t>
      </w:r>
    </w:p>
    <w:p>
      <w:pPr>
        <w:pStyle w:val="2"/>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三、作答要求</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（一）根据“给定资料1”，概括新凤村“土专家”的特点。（15分）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要求：（1）全面，准确，简明，有条理；（2）字数不超过200字。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（二）根据“给定资料2”，谈谈对其划线部分“有居民，方有民居”的理解。（15分）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要求：（1）紧扣资料，观点明确；（2）逻辑清晰，语言准确；（3）字数不超过200字。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（三）根据“给定资料3”，请就该村近年来遇到的问题分析其原因。（15分）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要求：（1）全面，准确，简明，有条理；（2）字数不超过200字。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（四）根据“给定资料4”，针对P县农家乐存在的问题提出改进建议。（20分）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要求：（1）紧扣资料，内容全面；（2）条理清晰，语言通畅；（3）字数不超过300字</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2" w:firstLineChars="200"/>
        <w:textAlignment w:val="auto"/>
        <w:rPr>
          <w:rFonts w:hint="eastAsia" w:cs="宋体"/>
          <w:b/>
          <w:bCs/>
          <w:color w:val="000000" w:themeColor="text1"/>
          <w:sz w:val="21"/>
          <w:szCs w:val="21"/>
          <w:lang w:eastAsia="zh-CN"/>
          <w14:textFill>
            <w14:solidFill>
              <w14:schemeClr w14:val="tx1"/>
            </w14:solidFill>
          </w14:textFill>
        </w:rPr>
      </w:pPr>
      <w:r>
        <w:rPr>
          <w:rFonts w:hint="eastAsia" w:cs="宋体"/>
          <w:b/>
          <w:bCs/>
          <w:color w:val="000000" w:themeColor="text1"/>
          <w:sz w:val="21"/>
          <w:szCs w:val="21"/>
          <w:lang w:eastAsia="zh-CN"/>
          <w14:textFill>
            <w14:solidFill>
              <w14:schemeClr w14:val="tx1"/>
            </w14:solidFill>
          </w14:textFill>
        </w:rPr>
        <w:t>（</w:t>
      </w:r>
      <w:r>
        <w:rPr>
          <w:rFonts w:hint="eastAsia" w:cs="宋体"/>
          <w:b/>
          <w:bCs/>
          <w:color w:val="000000" w:themeColor="text1"/>
          <w:sz w:val="21"/>
          <w:szCs w:val="21"/>
          <w:lang w:val="en-US" w:eastAsia="zh-CN"/>
          <w14:textFill>
            <w14:solidFill>
              <w14:schemeClr w14:val="tx1"/>
            </w14:solidFill>
          </w14:textFill>
        </w:rPr>
        <w:t>五</w:t>
      </w:r>
      <w:r>
        <w:rPr>
          <w:rFonts w:hint="eastAsia" w:cs="宋体"/>
          <w:b/>
          <w:bCs/>
          <w:color w:val="000000" w:themeColor="text1"/>
          <w:sz w:val="21"/>
          <w:szCs w:val="21"/>
          <w:lang w:eastAsia="zh-CN"/>
          <w14:textFill>
            <w14:solidFill>
              <w14:schemeClr w14:val="tx1"/>
            </w14:solidFill>
          </w14:textFill>
        </w:rPr>
        <w:t>）王家村拟参照兴隆村的模式改进农家书屋，但有些村民认为“改不改，没多大关系”。请你根据“给定资料5”，代表王家村村支两委，就这些情况，为即将召开的村民大会写一篇发言稿。（35分）</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cs="宋体"/>
          <w:color w:val="000000" w:themeColor="text1"/>
          <w:sz w:val="21"/>
          <w:szCs w:val="21"/>
          <w:lang w:eastAsia="zh-CN"/>
          <w14:textFill>
            <w14:solidFill>
              <w14:schemeClr w14:val="tx1"/>
            </w14:solidFill>
          </w14:textFill>
        </w:rPr>
      </w:pPr>
      <w:r>
        <w:rPr>
          <w:rFonts w:hint="eastAsia" w:cs="宋体"/>
          <w:color w:val="000000" w:themeColor="text1"/>
          <w:sz w:val="21"/>
          <w:szCs w:val="21"/>
          <w:lang w:eastAsia="zh-CN"/>
          <w14:textFill>
            <w14:solidFill>
              <w14:schemeClr w14:val="tx1"/>
            </w14:solidFill>
          </w14:textFill>
        </w:rPr>
        <w:t>要求：（1）紧扣资料，内容全面；（2）逻辑清晰，语言流畅；（3）字数不超过600字。</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jc w:val="left"/>
        <w:textAlignment w:val="auto"/>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2019年公务员多省联考《申论》真题</w:t>
      </w:r>
      <w:r>
        <w:rPr>
          <w:rFonts w:hint="eastAsia" w:cs="宋体"/>
          <w:b/>
          <w:bCs/>
          <w:color w:val="000000" w:themeColor="text1"/>
          <w:sz w:val="28"/>
          <w:szCs w:val="28"/>
          <w:lang w:eastAsia="zh-CN"/>
          <w14:textFill>
            <w14:solidFill>
              <w14:schemeClr w14:val="tx1"/>
            </w14:solidFill>
          </w14:textFill>
        </w:rPr>
        <w:t>（</w:t>
      </w:r>
      <w:r>
        <w:rPr>
          <w:rFonts w:hint="eastAsia" w:cs="宋体"/>
          <w:b/>
          <w:bCs/>
          <w:color w:val="000000" w:themeColor="text1"/>
          <w:sz w:val="28"/>
          <w:szCs w:val="28"/>
          <w:lang w:val="en-US" w:eastAsia="zh-CN"/>
          <w14:textFill>
            <w14:solidFill>
              <w14:schemeClr w14:val="tx1"/>
            </w14:solidFill>
          </w14:textFill>
        </w:rPr>
        <w:t>广西B卷</w:t>
      </w:r>
      <w:r>
        <w:rPr>
          <w:rFonts w:hint="eastAsia" w:cs="宋体"/>
          <w:b/>
          <w:bCs/>
          <w:color w:val="000000" w:themeColor="text1"/>
          <w:sz w:val="28"/>
          <w:szCs w:val="28"/>
          <w:lang w:eastAsia="zh-CN"/>
          <w14:textFill>
            <w14:solidFill>
              <w14:schemeClr w14:val="tx1"/>
            </w14:solidFill>
          </w14:textFill>
        </w:rPr>
        <w:t>）</w:t>
      </w:r>
      <w:r>
        <w:rPr>
          <w:rFonts w:hint="eastAsia" w:ascii="宋体" w:hAnsi="宋体" w:eastAsia="宋体" w:cs="宋体"/>
          <w:b/>
          <w:bCs/>
          <w:color w:val="000000" w:themeColor="text1"/>
          <w:sz w:val="28"/>
          <w:szCs w:val="28"/>
          <w14:textFill>
            <w14:solidFill>
              <w14:schemeClr w14:val="tx1"/>
            </w14:solidFill>
          </w14:textFill>
        </w:rPr>
        <w:t>（答案）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一、土生土长。熟悉社情民意，结合当地实际开展专业工作，了解地方水土。</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二、有责任感。深入群众，心系百姓，无私奉献，想方设法帮助村民脱贫致富。</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三、专业过硬。注重实地考察，热爱学习，善于钻研，能因地制宜确定发展思路。</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四、示范引领。面对质疑，身先士卒；亲力亲为，有号召力。</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五、有探索精神。不畏艰苦，反复实验，与时俱进，利用现代化进行生产。</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六、具有威望。明事理，懂人情，通法理，客观公正，深得民众敬佩。</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参考答案说明：答案从“土生土长”“有责任感”“专业过硬”“示范引领”“有探索精神”“具有威望”六个方面进行分条撰写，各条要点在内容上是并列且无交叉的。</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114300" distR="114300">
            <wp:extent cx="4339590" cy="1947545"/>
            <wp:effectExtent l="0" t="0" r="3810" b="14605"/>
            <wp:docPr id="8"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6"/>
                    <pic:cNvPicPr>
                      <a:picLocks noChangeAspect="1"/>
                    </pic:cNvPicPr>
                  </pic:nvPicPr>
                  <pic:blipFill>
                    <a:blip r:embed="rId5"/>
                    <a:stretch>
                      <a:fillRect/>
                    </a:stretch>
                  </pic:blipFill>
                  <pic:spPr>
                    <a:xfrm>
                      <a:off x="0" y="0"/>
                      <a:ext cx="4339590" cy="1947545"/>
                    </a:xfrm>
                    <a:prstGeom prst="rect">
                      <a:avLst/>
                    </a:prstGeom>
                    <a:noFill/>
                    <a:ln w="9525">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这句话指有居民，民居才持续存在。一、没有居民会导致：民居建筑废弃；生产停滞，失去人味、生活气息和乡村味道。二、有了居民就会积极主动修缮民居，做好保洁和安全隐患排查，改善供水供电和通讯条件等基础设施；管理有文物保护、旅游等特色价值的民居，吸引人员返乡，恢复生气。三、民居代表人文精神和生命血脉，是居民的安身之处和心灵寄托。要以人为本、与时俱进地适度保护，坚持原貌保护与现代化改造相结合，避免过度商业化。</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考答案说明：思路方面，本参考答案按照词句解释题“释义+分析相关要素+总结评价”的一般答题思路展开。内容方面，本参考答案先对“有居民，方有民居”的含义进行了解释，接着分析了“没有居民”对民居带来的危害以及“有了居民”对民居的积极作用，最后进行了总结评价。</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114300" distR="114300">
            <wp:extent cx="5770880" cy="1401445"/>
            <wp:effectExtent l="0" t="0" r="1270" b="8255"/>
            <wp:docPr id="10"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6"/>
                    <pic:cNvPicPr>
                      <a:picLocks noChangeAspect="1"/>
                    </pic:cNvPicPr>
                  </pic:nvPicPr>
                  <pic:blipFill>
                    <a:blip r:embed="rId6"/>
                    <a:stretch>
                      <a:fillRect/>
                    </a:stretch>
                  </pic:blipFill>
                  <pic:spPr>
                    <a:xfrm>
                      <a:off x="0" y="0"/>
                      <a:ext cx="5770880" cy="1401445"/>
                    </a:xfrm>
                    <a:prstGeom prst="rect">
                      <a:avLst/>
                    </a:prstGeom>
                    <a:noFill/>
                    <a:ln w="9525">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问题：野猪成群毁坏庄稼，影响农业生产，农民损失严重。</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原因：</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 生态环境：村落位于生态圈边缘，庄稼地与野猪聚集的林区相接；生态系统脆弱，生物链没有完全形成，野猪缺乏天敌制约。</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 生物习性：土地只适合种植马铃薯、玉米等农作物，恰好是野猪喜爱的食物，且其破坏力强。</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 村民观念：生态意识增强，发展旅游业，恢复林区生态，为野生动物回迁创造条件；法律意识增强，野猪是国家保护动物，不能随意捕杀，只能用温和方法驱逐。</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考答案说明：本参考答案宏观上分为“问题”和“原因”两个要素。首先，本答案指出了该村遇到的具体“问题”；其次，又从“生态环境”“生物习性”“村民观念”这三个方面入手指出了产生该问题的“原因”，并进行了分条撰写。各条要点之间在内容上相互并列，没有交叉。</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114300" distR="114300">
            <wp:extent cx="5349875" cy="1230630"/>
            <wp:effectExtent l="0" t="0" r="3175" b="7620"/>
            <wp:docPr id="12"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IMG_256"/>
                    <pic:cNvPicPr>
                      <a:picLocks noChangeAspect="1"/>
                    </pic:cNvPicPr>
                  </pic:nvPicPr>
                  <pic:blipFill>
                    <a:blip r:embed="rId7"/>
                    <a:stretch>
                      <a:fillRect/>
                    </a:stretch>
                  </pic:blipFill>
                  <pic:spPr>
                    <a:xfrm>
                      <a:off x="0" y="0"/>
                      <a:ext cx="5349875" cy="1230630"/>
                    </a:xfrm>
                    <a:prstGeom prst="rect">
                      <a:avLst/>
                    </a:prstGeom>
                    <a:noFill/>
                    <a:ln w="9525">
                      <a:noFill/>
                    </a:ln>
                  </pic:spPr>
                </pic:pic>
              </a:graphicData>
            </a:graphic>
          </wp:inline>
        </w:drawing>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4、参考答案：</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完善基础设施。增加财政拨款，筹集当地资金，规划路线，加大对道路、停车场、公交等交通设施的完善。2.提高民宿住宿水准。制定民宿标准与规划，重修老宅院，配备生活设施。3.整治食品问题。整改餐饮加工，加大对食品加工的培训，严格管理食材采购渠道，与正规供应商合作，严查三无产品。4.规范经营市场。发挥协会作用，加强对行业的规范管理，促进有序竞争和可持续发展。设立举报通道，对虚假销售给予罚款惩治，统一物价标准。5.保障旅游安全。对牲畜加强防疫工作，完善对周围环境的监测，提前安装安全防御设备，按照安全标准，加大对设施的检查、修复。6.打造特色风情。深度挖掘乡土文化资源，树立特色地域品牌，走差异化发展道路。</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参考答案说明：本参考答案从“完善基础设施”“提高民宿住宿水平”“整治食品问题”“规范经营市场”“保障旅游安全”“打造特色风情”这六个方面进行了分条撰写。各条要点之间在内容上是并列关系，没有交叉。并且撰写每条要点时，都提炼出了概括性强的总结词并前置。</w:t>
      </w:r>
    </w:p>
    <w:p>
      <w:pPr>
        <w:pStyle w:val="7"/>
        <w:keepNext w:val="0"/>
        <w:keepLines w:val="0"/>
        <w:pageBreakBefore w:val="0"/>
        <w:widowControl w:val="0"/>
        <w:shd w:val="clear" w:color="auto" w:fill="FFFFFF"/>
        <w:kinsoku/>
        <w:wordWrap/>
        <w:overflowPunct/>
        <w:topLinePunct w:val="0"/>
        <w:autoSpaceDE/>
        <w:autoSpaceDN/>
        <w:bidi w:val="0"/>
        <w:adjustRightInd w:val="0"/>
        <w:snapToGrid w:val="0"/>
        <w:spacing w:before="95" w:beforeLines="30" w:beforeAutospacing="0" w:after="0" w:afterAutospacing="0" w:line="288" w:lineRule="auto"/>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drawing>
          <wp:inline distT="0" distB="0" distL="114300" distR="114300">
            <wp:extent cx="4044950" cy="2265680"/>
            <wp:effectExtent l="0" t="0" r="12700" b="1270"/>
            <wp:docPr id="14"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IMG_256"/>
                    <pic:cNvPicPr>
                      <a:picLocks noChangeAspect="1"/>
                    </pic:cNvPicPr>
                  </pic:nvPicPr>
                  <pic:blipFill>
                    <a:blip r:embed="rId8"/>
                    <a:stretch>
                      <a:fillRect/>
                    </a:stretch>
                  </pic:blipFill>
                  <pic:spPr>
                    <a:xfrm>
                      <a:off x="0" y="0"/>
                      <a:ext cx="4044950" cy="2265680"/>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footerReference r:id="rId3" w:type="default"/>
      <w:pgSz w:w="11906" w:h="16838"/>
      <w:pgMar w:top="930" w:right="1236" w:bottom="930" w:left="1236" w:header="510" w:footer="34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jYTA2NDJkZDA2NGIxMzY0MDQ5NDE3ZWZhZmVhNjgifQ=="/>
  </w:docVars>
  <w:rsids>
    <w:rsidRoot w:val="00654E2A"/>
    <w:rsid w:val="00016999"/>
    <w:rsid w:val="00041C16"/>
    <w:rsid w:val="000D03B1"/>
    <w:rsid w:val="001A3BAD"/>
    <w:rsid w:val="00264EE6"/>
    <w:rsid w:val="002A21A7"/>
    <w:rsid w:val="002C7B72"/>
    <w:rsid w:val="00305512"/>
    <w:rsid w:val="00316F72"/>
    <w:rsid w:val="0036628C"/>
    <w:rsid w:val="003839D3"/>
    <w:rsid w:val="003D653F"/>
    <w:rsid w:val="003F2689"/>
    <w:rsid w:val="004434A7"/>
    <w:rsid w:val="0052320C"/>
    <w:rsid w:val="00531DA1"/>
    <w:rsid w:val="00556BDD"/>
    <w:rsid w:val="00570E2D"/>
    <w:rsid w:val="00594EDB"/>
    <w:rsid w:val="005A0390"/>
    <w:rsid w:val="0061488F"/>
    <w:rsid w:val="00654E2A"/>
    <w:rsid w:val="006A6FD7"/>
    <w:rsid w:val="006E5791"/>
    <w:rsid w:val="00712948"/>
    <w:rsid w:val="00791BF9"/>
    <w:rsid w:val="007D066C"/>
    <w:rsid w:val="00847DFF"/>
    <w:rsid w:val="008C511C"/>
    <w:rsid w:val="0099242D"/>
    <w:rsid w:val="009E0E36"/>
    <w:rsid w:val="009F6D4B"/>
    <w:rsid w:val="00B10DAB"/>
    <w:rsid w:val="00BC1CD9"/>
    <w:rsid w:val="00C02C56"/>
    <w:rsid w:val="00CB65C3"/>
    <w:rsid w:val="00CC5B7B"/>
    <w:rsid w:val="00CC78B5"/>
    <w:rsid w:val="00CE41F6"/>
    <w:rsid w:val="00D42A74"/>
    <w:rsid w:val="00D51D39"/>
    <w:rsid w:val="00D97B0A"/>
    <w:rsid w:val="00E538D9"/>
    <w:rsid w:val="00ED4DBF"/>
    <w:rsid w:val="00EE1A5D"/>
    <w:rsid w:val="00EE322D"/>
    <w:rsid w:val="00F4675E"/>
    <w:rsid w:val="00F53F71"/>
    <w:rsid w:val="04A24647"/>
    <w:rsid w:val="0E136F1D"/>
    <w:rsid w:val="178E7651"/>
    <w:rsid w:val="2546354F"/>
    <w:rsid w:val="28463741"/>
    <w:rsid w:val="554B605E"/>
    <w:rsid w:val="767C7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5"/>
    <w:semiHidden/>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paragraph" w:customStyle="1" w:styleId="11">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styleId="14">
    <w:name w:val="Placeholder Text"/>
    <w:basedOn w:val="9"/>
    <w:semiHidden/>
    <w:qFormat/>
    <w:uiPriority w:val="99"/>
    <w:rPr>
      <w:color w:val="808080"/>
    </w:rPr>
  </w:style>
  <w:style w:type="character" w:customStyle="1" w:styleId="15">
    <w:name w:val="批注框文本 字符"/>
    <w:basedOn w:val="9"/>
    <w:link w:val="4"/>
    <w:semiHidden/>
    <w:qFormat/>
    <w:uiPriority w:val="99"/>
    <w:rPr>
      <w:sz w:val="18"/>
      <w:szCs w:val="18"/>
    </w:rPr>
  </w:style>
  <w:style w:type="character" w:customStyle="1" w:styleId="16">
    <w:name w:val="apple-converted-space"/>
    <w:basedOn w:val="9"/>
    <w:qFormat/>
    <w:uiPriority w:val="0"/>
  </w:style>
  <w:style w:type="character" w:customStyle="1" w:styleId="17">
    <w:name w:val="标题 3 字符"/>
    <w:basedOn w:val="9"/>
    <w:link w:val="3"/>
    <w:qFormat/>
    <w:uiPriority w:val="9"/>
    <w:rPr>
      <w:rFonts w:ascii="宋体" w:hAnsi="宋体" w:eastAsia="宋体" w:cs="宋体"/>
      <w:b/>
      <w:bCs/>
      <w:kern w:val="0"/>
      <w:sz w:val="27"/>
      <w:szCs w:val="27"/>
    </w:rPr>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7399</Words>
  <Characters>7474</Characters>
  <Lines>64</Lines>
  <Paragraphs>18</Paragraphs>
  <TotalTime>1</TotalTime>
  <ScaleCrop>false</ScaleCrop>
  <LinksUpToDate>false</LinksUpToDate>
  <CharactersWithSpaces>7479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2019-09-25T08:58:00Z</dcterms:created>
  <dc:creator>Windows 用户</dc:creator>
  <cp:lastModifiedBy>沙鸥汀月</cp:lastModifiedBy>
  <dcterms:modified xsi:type="dcterms:W3CDTF">2022-07-13T05:39:47Z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A7B278C3EC4D42F8BDF5BA4A53AB1034</vt:lpwstr>
  </property>
</Properties>
</file>