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720" w:firstLineChars="200"/>
        <w:jc w:val="center"/>
        <w:textAlignment w:val="auto"/>
        <w:rPr>
          <w:rFonts w:ascii="Helvetica" w:hAnsi="Helvetica" w:cs="Helvetica"/>
          <w:b w:val="0"/>
          <w:bCs w:val="0"/>
          <w:color w:val="auto"/>
          <w:sz w:val="36"/>
          <w:szCs w:val="36"/>
        </w:rPr>
      </w:pPr>
      <w:r>
        <w:rPr>
          <w:rFonts w:ascii="Helvetica" w:hAnsi="Helvetica" w:cs="Helvetica"/>
          <w:b w:val="0"/>
          <w:bCs w:val="0"/>
          <w:color w:val="auto"/>
          <w:sz w:val="36"/>
          <w:szCs w:val="36"/>
        </w:rPr>
        <w:t>2019年公务员多省联考《申论》真题</w:t>
      </w:r>
    </w:p>
    <w:p>
      <w:pPr>
        <w:pStyle w:val="3"/>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720" w:firstLineChars="200"/>
        <w:jc w:val="center"/>
        <w:textAlignment w:val="auto"/>
        <w:rPr>
          <w:rFonts w:ascii="Helvetica" w:hAnsi="Helvetica" w:cs="Helvetica"/>
          <w:b w:val="0"/>
          <w:bCs w:val="0"/>
          <w:color w:val="auto"/>
          <w:sz w:val="36"/>
          <w:szCs w:val="36"/>
        </w:rPr>
      </w:pPr>
      <w:r>
        <w:rPr>
          <w:rFonts w:ascii="Helvetica" w:hAnsi="Helvetica" w:cs="Helvetica"/>
          <w:b w:val="0"/>
          <w:bCs w:val="0"/>
          <w:color w:val="auto"/>
          <w:sz w:val="36"/>
          <w:szCs w:val="36"/>
        </w:rPr>
        <w:t>（黑龙江</w:t>
      </w:r>
      <w:r>
        <w:rPr>
          <w:rFonts w:hint="eastAsia" w:ascii="Helvetica" w:hAnsi="Helvetica" w:cs="Helvetica"/>
          <w:b w:val="0"/>
          <w:bCs w:val="0"/>
          <w:color w:val="auto"/>
          <w:sz w:val="36"/>
          <w:szCs w:val="36"/>
          <w:lang w:val="en-US" w:eastAsia="zh-CN"/>
        </w:rPr>
        <w:t>省直</w:t>
      </w:r>
      <w:r>
        <w:rPr>
          <w:rFonts w:ascii="Helvetica" w:hAnsi="Helvetica" w:cs="Helvetica"/>
          <w:b w:val="0"/>
          <w:bCs w:val="0"/>
          <w:color w:val="auto"/>
          <w:sz w:val="36"/>
          <w:szCs w:val="36"/>
        </w:rPr>
        <w:t>卷）</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jc w:val="center"/>
        <w:textAlignment w:val="auto"/>
        <w:rPr>
          <w:rFonts w:ascii="Helvetica" w:hAnsi="Helvetica" w:cs="Helvetica"/>
          <w:color w:val="auto"/>
          <w:sz w:val="21"/>
          <w:szCs w:val="21"/>
        </w:rPr>
      </w:pPr>
      <w:r>
        <w:rPr>
          <w:rFonts w:ascii="Helvetica" w:hAnsi="Helvetica" w:cs="Helvetica"/>
          <w:color w:val="auto"/>
          <w:sz w:val="21"/>
          <w:szCs w:val="21"/>
        </w:rPr>
        <w:t>分类：申论/黑龙江来源：粉笔</w:t>
      </w:r>
    </w:p>
    <w:p>
      <w:pPr>
        <w:pStyle w:val="2"/>
        <w:pageBreakBefore w:val="0"/>
        <w:shd w:val="clear" w:color="auto" w:fill="FFFFFF"/>
        <w:kinsoku/>
        <w:wordWrap/>
        <w:overflowPunct/>
        <w:topLinePunct w:val="0"/>
        <w:autoSpaceDE/>
        <w:autoSpaceDN/>
        <w:bidi w:val="0"/>
        <w:adjustRightInd w:val="0"/>
        <w:snapToGrid w:val="0"/>
        <w:spacing w:before="95" w:beforeLines="30" w:after="0" w:afterAutospacing="0" w:line="288" w:lineRule="auto"/>
        <w:ind w:firstLine="422" w:firstLineChars="200"/>
        <w:textAlignment w:val="auto"/>
        <w:rPr>
          <w:rFonts w:ascii="宋体" w:hAnsi="宋体" w:eastAsia="宋体" w:cs="Helvetica"/>
          <w:color w:val="auto"/>
          <w:sz w:val="21"/>
          <w:szCs w:val="21"/>
        </w:rPr>
      </w:pPr>
      <w:r>
        <w:rPr>
          <w:rFonts w:ascii="宋体" w:hAnsi="宋体" w:eastAsia="宋体" w:cs="Helvetica"/>
          <w:color w:val="auto"/>
          <w:sz w:val="21"/>
          <w:szCs w:val="21"/>
        </w:rPr>
        <w:t>一、注意事项</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1.请阅知：本题本由给定资料与作答要求两部分构成，满分100分。考试时限为150分钟。其中，阅读给定资料参考时限为30分钟，作答参考时限为120分钟。</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2.请在题本、答题卡指定位置上如实填写自己的姓名、准考证号，并用2B铅笔将答题卡上准考证号对应的数字涂黑。</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3.请用黑色字迹的签字笔或钢笔在答题卡指定区域内作答，超出答题区域的作答无效！</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4.所有题目一律使用现代汉语作答。未按要求作答的，不得分。</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5.不允许在作答内容中体现本人姓名，否则成绩记为零分。</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6.严禁折叠、污损答题卡！</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7.监考人员宣布考试开始时，方可开始答题。</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8.监考人员宣布考试结束时，考生应立即停止作答，将题本、答题卡翻放，待监考人员确认数量无误、允许离开后，方可离开。</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楷体" w:hAnsi="楷体" w:eastAsia="楷体" w:cs="楷体"/>
          <w:color w:val="auto"/>
          <w:sz w:val="21"/>
          <w:szCs w:val="21"/>
        </w:rPr>
      </w:pPr>
      <w:r>
        <w:rPr>
          <w:rFonts w:hint="eastAsia" w:ascii="楷体" w:hAnsi="楷体" w:eastAsia="楷体" w:cs="楷体"/>
          <w:b/>
          <w:bCs/>
          <w:color w:val="auto"/>
          <w:sz w:val="21"/>
          <w:szCs w:val="21"/>
        </w:rPr>
        <w:t>提示：请严格按照以上要求作答！</w:t>
      </w:r>
    </w:p>
    <w:p>
      <w:pPr>
        <w:pStyle w:val="2"/>
        <w:pageBreakBefore w:val="0"/>
        <w:shd w:val="clear" w:color="auto" w:fill="FFFFFF"/>
        <w:kinsoku/>
        <w:wordWrap/>
        <w:overflowPunct/>
        <w:topLinePunct w:val="0"/>
        <w:autoSpaceDE/>
        <w:autoSpaceDN/>
        <w:bidi w:val="0"/>
        <w:adjustRightInd w:val="0"/>
        <w:snapToGrid w:val="0"/>
        <w:spacing w:before="95" w:beforeLines="30" w:after="0" w:afterAutospacing="0" w:line="288" w:lineRule="auto"/>
        <w:ind w:firstLine="422" w:firstLineChars="200"/>
        <w:textAlignment w:val="auto"/>
        <w:rPr>
          <w:rFonts w:ascii="宋体" w:hAnsi="宋体" w:eastAsia="宋体" w:cs="Helvetica"/>
          <w:color w:val="auto"/>
          <w:sz w:val="21"/>
          <w:szCs w:val="21"/>
        </w:rPr>
      </w:pPr>
      <w:r>
        <w:rPr>
          <w:rFonts w:ascii="宋体" w:hAnsi="宋体" w:eastAsia="宋体" w:cs="Helvetica"/>
          <w:color w:val="auto"/>
          <w:sz w:val="21"/>
          <w:szCs w:val="21"/>
        </w:rPr>
        <w:t>二、给定材料</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cs="Helvetica"/>
          <w:b/>
          <w:bCs/>
          <w:color w:val="auto"/>
          <w:sz w:val="21"/>
          <w:szCs w:val="21"/>
        </w:rPr>
      </w:pPr>
      <w:r>
        <w:rPr>
          <w:rFonts w:cs="Helvetica"/>
          <w:b/>
          <w:bCs/>
          <w:color w:val="auto"/>
          <w:sz w:val="21"/>
          <w:szCs w:val="21"/>
        </w:rPr>
        <w:t>材料1</w:t>
      </w:r>
    </w:p>
    <w:p>
      <w:pPr>
        <w:pStyle w:val="7"/>
        <w:pageBreakBefore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一年前，小张从北京到杭州工作，在租房时，她惊喜地得知，由于她的信用记录良好，所以不用缴纳两倍于月租的租房押金；而北京的胡某，却遇到一件让他颜面尽失的事情。他原准备在假期租辆宝马车和朋友外出自驾游玩，没想到被租车公司拒绝。原来，胡先生由于欠款许久未还，被列人了“老赖”名单，导致自己的信用不佳，被禁止租车。</w:t>
      </w:r>
    </w:p>
    <w:p>
      <w:pPr>
        <w:pStyle w:val="7"/>
        <w:pageBreakBefore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2018年2月起，到E市妇女儿童医疗中心就诊的患者发现，只要自己的信用度足够好，在医疗中心就可以“先诊疗后付费”，无需一次次在诊室、检查室和交费处之间奔波，大大节省了时间和精力。</w:t>
      </w:r>
    </w:p>
    <w:p>
      <w:pPr>
        <w:pStyle w:val="7"/>
        <w:pageBreakBefore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信用骑车、信用住店，信用借书，公交车扫码乘车……这一幕一幕，都是真真切切正在我们身边发生的场景，告诉我们中国正在迈进信用社会。</w:t>
      </w:r>
      <w:r>
        <w:rPr>
          <w:rFonts w:cs="Helvetica"/>
          <w:color w:val="auto"/>
          <w:sz w:val="21"/>
          <w:szCs w:val="21"/>
          <w:u w:val="single"/>
        </w:rPr>
        <w:t>随着大数据时代的来临，信用成为每个人的“第二张身份证”。</w:t>
      </w:r>
      <w:r>
        <w:rPr>
          <w:rFonts w:cs="Helvetica"/>
          <w:color w:val="auto"/>
          <w:sz w:val="21"/>
          <w:szCs w:val="21"/>
        </w:rPr>
        <w:t>每个人、每个机构的信用度都可以被量化，曾经“看不见”“摸不到“的信用，正在逐步“变现”。</w:t>
      </w:r>
    </w:p>
    <w:p>
      <w:pPr>
        <w:pStyle w:val="7"/>
        <w:pageBreakBefore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信用也提升了交易效率，为新经济提供支撑。对于废旧手机回收利用创业者向先生而言，信用就为他解决了“先收手机还是先付款”的难题。“先收手机，用户不放心。先付款，我们也怕损失。”向先生说，引人信用后，对高分用户优先付款，不仅订单量上浮一倍，也没有出现违约情况。</w:t>
      </w:r>
    </w:p>
    <w:p>
      <w:pPr>
        <w:pStyle w:val="7"/>
        <w:pageBreakBefore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有了信用的助力，企业经营效率变得更高。目前，多家共享单车企业已实现信用免押金，大大方便了新用户开通使用。一些共享汽车、共享租衣企业也在研究信用梯度收费等模式，最大限度吸引用户。用户对信用的珍视也令人惊喜。以租车为例，引入信用分后，行业租金欠款率下降了52%，违章罚款欠款率下降了27%。</w:t>
      </w:r>
    </w:p>
    <w:p>
      <w:pPr>
        <w:pStyle w:val="7"/>
        <w:pageBreakBefore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在网络高度发达的今天，资源的分布不再局限于有形市场，很多资源分布在网络上，资金资源不再集中在类似于银行这种金融机构身上，而是通过互联网分散分布。一个人只要拥有足够的信用水平，在网络上就能够筹集到资金。所以，信用社会给子了人们一个公平发展的环境。“信用既是商业社会的内在原则，也创造价值和财富。”某研完员说，随着信用体系不断完善，每个人都能在社会中获得公平发展的机会，这将大大激发全社会创业创新热情。</w:t>
      </w:r>
    </w:p>
    <w:p>
      <w:pPr>
        <w:pStyle w:val="7"/>
        <w:pageBreakBefore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在某信用机构负责人看来，10年后，国内绝大多数城市都将成为信用城市。诚实守信的市民和商家，会享受到非常大的便利，政府的管理效率也将大大提高。信用体系的建立可以推动整个社会综合治理发展。</w:t>
      </w:r>
    </w:p>
    <w:p>
      <w:pPr>
        <w:pStyle w:val="7"/>
        <w:pageBreakBefore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在S市，26万老人领取养老金不用亲自跑腿去现场，只需要在手机上进行一次信用认证。购房者提取公积金时也不需要准备一堆证明材料，柜台的人脸识别系统扫描后，他的相关信用信息迅速呈现。……在促进政务精细化管理方面，“信用”正在发挥越来越重要的作用，有着高信用值的市民在通过实名认证之后，越来越多的政务服务都可以通过互联网进行办理，“刷脸”即可，无需到窗口排队。</w:t>
      </w:r>
    </w:p>
    <w:p>
      <w:pPr>
        <w:pStyle w:val="7"/>
        <w:pageBreakBefore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cs="Helvetica"/>
          <w:color w:val="auto"/>
          <w:sz w:val="21"/>
          <w:szCs w:val="21"/>
        </w:rPr>
      </w:pPr>
      <w:r>
        <w:rPr>
          <w:rFonts w:cs="Helvetica"/>
          <w:color w:val="auto"/>
          <w:sz w:val="21"/>
          <w:szCs w:val="21"/>
        </w:rPr>
        <w:t>凑一堆人就走的“中国式过马路”、不走寻常路玩“跨越”、开车煲电话粥、没事打开远光灯……这些交通违规行为带来安全隐患，给城市管理增加了困难。当前，有的城市把这些交通违规行为纳入个人信用记录，已经能实现这样的应用场景：一名过马路闯红灯的路人，被监控系统识别身份，达到一定次数将被扣除相应信用分，降低信用等级，严重的甚至影响贷款。这种做法背后的逻辑是，一个不尊重交规的人，也可能做出不尊重其他公共规则的行为。个人信用信息就是对个人的一种人格勾勒。在一个公民素质发育成熟的社会，对公民的信用评估，往往是以公民在公共事务中的态度和做法为基本出发点的。</w:t>
      </w:r>
      <w:r>
        <w:rPr>
          <w:rFonts w:cs="Helvetica"/>
          <w:color w:val="auto"/>
          <w:sz w:val="21"/>
          <w:szCs w:val="21"/>
          <w:u w:val="single"/>
        </w:rPr>
        <w:t>信用既是一种道德品质，也是一种制度和规则</w:t>
      </w:r>
      <w:r>
        <w:rPr>
          <w:rFonts w:cs="Helvetica"/>
          <w:color w:val="auto"/>
          <w:sz w:val="21"/>
          <w:szCs w:val="21"/>
        </w:rPr>
        <w:t>。信用体系全面建立的意义不仅在于解决押金带来的纠纷，更在于塑造一个和谐的社会，换言之，使每个人都更加规矩</w:t>
      </w:r>
      <w:r>
        <w:rPr>
          <w:rFonts w:hint="eastAsia" w:cs="Helvetica"/>
          <w:color w:val="auto"/>
          <w:sz w:val="21"/>
          <w:szCs w:val="21"/>
        </w:rPr>
        <w:t>——因为违反社会规则，将令你寸步难行。</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cs="Helvetica"/>
          <w:b/>
          <w:bCs/>
          <w:color w:val="auto"/>
          <w:sz w:val="21"/>
          <w:szCs w:val="21"/>
        </w:rPr>
      </w:pPr>
      <w:r>
        <w:rPr>
          <w:rFonts w:cs="Helvetica"/>
          <w:b/>
          <w:bCs/>
          <w:color w:val="auto"/>
          <w:sz w:val="21"/>
          <w:szCs w:val="21"/>
        </w:rPr>
        <w:t>材料2</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阳光正好，M县永兴村老谭到家门口的木耳地里转了一圈，看着一排排菌棒上厚实的黑木耳，他的心里美滋滋的。不到一年时间，4亩木耳，收入近14万元，从打零工的农民工变身为黑木耳种植大户，他感觉致富步伐越来越快了。如今在M县，越来越多的贫困户凭信用贷款找到致富门路。这一切源于当地的金融扶贫机制创新。</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老谭一家属于因学致贫。他两个儿子正读大学，一个月生活费和其他开销就要4000多元。过去，夫妇俩靠在建筑工地打工，生活捉襟见肘。“没钱不能干事，也不敢干事。”老谭实话实说，过去印象中，贷款只是一些老板的事。有一年，他想贷两万元做生意，银行工作人员解释了一堆贷款政策，老谭依然是一头雾水，只能悻悻作罢。变化说来就来。“去年初，村里传来消息，贫困户不用抵押也能贷款，还有公司来推广黑木耳种植技术，我就想着试一试。”老谭回忆说，没过几天，他就拿到了贷款，甩开膀子干了起来。</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为了有效开展精准扶贫，M县探索创新扶贫小额信贷：贫困户经过评级授信，无需抵押和担保，即可从县农商银行拿到1万至5万元的贷款。“我们为贫困户‘量身定制’贷款。诚信评价、家庭劳动力和人均收入，作为评级授信的三项指标，分值分别是70分、20分、10分。”M县农商银行行长介绍，整个授信工作自下而上，主要由熟悉情况的村民代表等组成授信小组，采取投票的方式对贫困户进行量化计分、评级，信用级别越高，货款额度越大。“贷款周期没有硬性限制，利率也降低了一半，而根据银行的还息凭证，扶贫部门还给予3年全额贴息奖励。”这和过去形成鲜明的对照。以前贷款的前置审批程序中，光财政证明就有18项之多。另外贷款利息高，一年一万元，需要还1000多元利息，贫困户很难承受。</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据统计，自推行扶贫小额信贷以来，该县已对2.43万户贫困户完成评级授信，有效信率达92.35%，共发放小额信用贷款1.26亿元。</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贷款的问题解决了，如何杜绝陷入“给一头羊，吃一头羊”的怪圈呢？M县扶贫部门发现，尽管政府提供了信用贷款，但有的贫困户还是不敢贷，担心钱打了水漂，还不了钱；另外，有人觉得拿到贷款之后，不知道干什么，所以宁愿不要。M县委书记说：“山里的百姓淳朴，如果不知道做什么可以挣钱，就是答应给他们贷款，他们心里也打鼓。因此，精准扶贫要扶上马再送一程，在解决资金跟着穷人走之后，根据市场供需与自身情况选择扶贫产业，以‘能人’带动大多数贫困户一起发展，能人跟着项目走，项目跟着市场走。”</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M县山岗村贫困村民小夏正在当地一家农业发展有限公司的蛋鸡基地紧张地忙碌，他既在基地打工，又是公司的股东。公司董事长介绍说，当地23户贫困户将小额信贷资金75万元委托给公司发展蛋鸡养殖产业，占65%的股份，公司负责蛋鸡产业的技术服务和经营管理，折合35%的股份。去年年底，23户农户实现分红14万元，户均增收6000元。小夏去年底拿到分红1800元，同时他和妻子、岳父三人打工，一年收入将近12万元。小夏笑着说，今年计划贷5万元入伙公司有技术、会管理、有市场，我们脱贫有底气。”近年来M县的家禽养殖、木耳种植等产业，催生了一批扶贫经济组织，在精准脱贫实践中成效显著。“立足优势特色产业，在贫困户和农业企业、家庭农场、合作社等扶贫经济组织之间建立紧密的利益联结机制，这样才能保证扶贫效益精准到户。”M县委书记介绍。</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以前银行不愿贷款给贫困户，主要是担心坏账的风险。M县农商银行行长反复说：“风险，还是风险！1.26个亿，没有抵押和担保，你说不担心是假的。”为化解金融部门的后顾之忧，M县专门建立了贫困农户小额信贷风险补偿初始资金，如今规模已达1000元。“1000万，相对于1.26亿来说，比例很小，保证资金安全是不小的挑战。”为消除银行的担心，M县政府试图引进农业保险公司，“提高防灾积极性、保险公司让出一部分利润来确保微利可持续经营”的农业保险模式。扶贫资金监管也是一个课题。怎样有效避免企业以扶贫的名义套取扶贫资金？贫困户的权利如何保障？M县已成立扶贫开发责任公司，贫困户贷款直接打到公司指定账户，企业入股资金也要打到该账户，然后才能施行招标。这样实现全程监管，确保扶贫资金安全。“成立产业扶贫协会，也是可以尝试的方式。”M县委书记说，通过协会制定产业扶贫的行业标准，可以规范扶贫行为，政府只需出台政策，做好相关服务，建立风险基金，行业协会则承担法人的担保责任。</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cs="Helvetica"/>
          <w:b/>
          <w:bCs/>
          <w:color w:val="auto"/>
          <w:sz w:val="21"/>
          <w:szCs w:val="21"/>
        </w:rPr>
      </w:pPr>
      <w:r>
        <w:rPr>
          <w:rFonts w:cs="Helvetica"/>
          <w:b/>
          <w:bCs/>
          <w:color w:val="auto"/>
          <w:sz w:val="21"/>
          <w:szCs w:val="21"/>
        </w:rPr>
        <w:t>材料3</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我做网店这么多年，深知经营者一旦失信，市场就会被扰乱，当你的客户不再相信你时，网店也到了尽头。所以我们必须诚信经营，这样市场才会越做越活，路子越走越远。”凭着多年的努力，为满足客户需求上下求索，诚信经营，40岁农民张某走出了自己的电商致富路。</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张某夫妇2014年创办了网店，主要销售地区特色农产品。在张某的心中，做电商想要销路好，最关键的是“诚信”。对于客户提出的问题和要求，他做到有问必答；对于电商上做得不好的细节，他有错必改，直到客户满意。有一次，张某发送给广东的“菜煎饼”专用饼，客户在收到货后，发现饼已经变质。客户把这一问题反映过来后，张某立即查阅物流信息，发现货物在途中多耽误了两天。但是，不管责任在谁，绝不能让客户受到损失，张某毫不犹豫地给客户补发了货物。客户知道原因后要求和他共同承担责任，被他坚决拒绝了。从此，客户对他的产品更加青睐了。从一穷二白做起，凭着诚信经营，张某的网店经营范围逐步扩大，卖出的产品越来越多，收到的好评也越来越多，新客户、回头客络绎不绝。</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近年来，随着大数据、云计算等互联网技术的大规模应用，电子商务迅猛发展，已成为我国国民经济的组成部分和重要增长点。对电子商务而言，诚信是其健康发展的重要基础，这已成为众多电商的行业共识。多家电商平台联合成立诚信联盟，签署《电子商务诚信公约》。该联盟旨在通过互联网手段促进行业自律。根据约定，联盟将建立信息共享机制，设立专属网站，实现联盟成员之间的信息互通，并向公众公开联盟工作成果。</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多家电子商务平台也以各自的方式开展诚信建设活动。某平台推出企业诚信查询平台。用户登录后，只需在网站输入企业名称和法定代表人信息，就能查询其信用等级以及企业相关情况。该平台还发布处罚公告，宣布永久关闭平台上36家以不正当手段谋取利益的商家店铺。</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为了使用户享有便捷、可信、有保障的二手车服务，某二手车平台推出三大透明计划，检测报告、委托/交易合同、服务内容收费标准100%全公开，并做出三大必赔保障承诺：车况不符、车价赚差价、服务费不实必赔。另外，平台会分别通过管理、技术、监管等多个角度对车商进行识别筛除，要求平台的加盟商家签署《诚信商家承诺书》。</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 “电商诚信问题有时候不是道德问题，而是技术能力和服务水平的问题。”一家电子商务平台的负责人说。电子商务让消费者头疼的一个问题就是售后服务跟不上。为此该平台专门设立只卖服务产品的社区店，围绕平台经营做好售后服务工作；同时，也为周边居民提供家装、维修和保洁等综合服务。在个人隐私保护方面，某快递公司也设计了加密运单，让个人信息不再随包裹“裸奔”。据介绍，作为加密运单的快件，在派件时只有当班次出仓快件的收派员，才能通过手持智能终端扫描看到收件人的电话信息；而在快件运输的环节中，没有人能看到隐藏的信息，这保证了收寄件人的信息安全。</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为促进电商市场的健康发展，国家接连出台法规和政策，推动电子商务领域诚信体系建设。2017年1月，国家发改委等九部门发布《关于全面加强电子商务领域诚信建设的指导意见》。2018年7月，商务部印发《2018年商务信用建设工作要点》，部署了包括电子商务在内的四个重点领域的信用工作。2018年8月31日，十三届全国人大常委会第五次会议表决通过《电子商务法》，明确提出要“推进电子商务诚信体系建设。”</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地方政府也在积极响应。2018年8月，Y市正式出台了《全面加强电子商务领域诚信建设的实施意见》，逐步建立统一的电子商务信用评价体系。该市的茶叶电商协会负责人说：“电商具有非常明显的跨地域性，不像传统线下商务那么直接、容易收到属地政府部门或者行业组织的监管。电商平台模式对平台方信用程度的要求更高，政府部门、行业组织或信用机构依法进行信用监管，是维护电子商务良好秩序的关键。</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cs="Helvetica"/>
          <w:b/>
          <w:bCs/>
          <w:color w:val="auto"/>
          <w:sz w:val="21"/>
          <w:szCs w:val="21"/>
        </w:rPr>
      </w:pPr>
      <w:r>
        <w:rPr>
          <w:rFonts w:cs="Helvetica"/>
          <w:b/>
          <w:bCs/>
          <w:color w:val="auto"/>
          <w:sz w:val="21"/>
          <w:szCs w:val="21"/>
        </w:rPr>
        <w:t>材料4</w:t>
      </w:r>
    </w:p>
    <w:p>
      <w:pPr>
        <w:pageBreakBefore w:val="0"/>
        <w:widowControl/>
        <w:shd w:val="clear" w:color="auto" w:fill="FFFFFF"/>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ascii="Helvetica" w:hAnsi="Helvetica" w:eastAsia="宋体" w:cs="Helvetica"/>
          <w:color w:val="auto"/>
          <w:kern w:val="0"/>
          <w:szCs w:val="21"/>
        </w:rPr>
      </w:pPr>
      <w:r>
        <w:rPr>
          <w:rFonts w:ascii="Helvetica" w:hAnsi="Helvetica" w:eastAsia="宋体" w:cs="Helvetica"/>
          <w:color w:val="auto"/>
          <w:kern w:val="0"/>
          <w:szCs w:val="21"/>
        </w:rPr>
        <w:t>人无信不立，业无信不兴。诚信不仅是个人安身立命的根本，也是社会良序发展的基石。</w:t>
      </w:r>
    </w:p>
    <w:p>
      <w:pPr>
        <w:pageBreakBefore w:val="0"/>
        <w:widowControl/>
        <w:shd w:val="clear" w:color="auto" w:fill="FFFFFF"/>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ascii="Helvetica" w:hAnsi="Helvetica" w:eastAsia="宋体" w:cs="Helvetica"/>
          <w:color w:val="auto"/>
          <w:kern w:val="0"/>
          <w:szCs w:val="21"/>
        </w:rPr>
      </w:pPr>
      <w:r>
        <w:rPr>
          <w:rFonts w:ascii="Helvetica" w:hAnsi="Helvetica" w:eastAsia="宋体" w:cs="Helvetica"/>
          <w:color w:val="auto"/>
          <w:kern w:val="0"/>
          <w:szCs w:val="21"/>
        </w:rPr>
        <w:t>党的十八大以来，党和国家高度重视诚信建设。习近平总书记在多个不同场合围绕诚信主题发表了一系列重要论述，从战略高度为新时代中国的诚信建设提供了基本遵循。他从历史维度、价值维度、实践维度对诚信问题进行了深刻闸述，进一步指出中华文化关于诚信的思想和理念，不论过去还是现在，都有其鲜明的民族特色，都有其永不褪色的时代价值。他强调，要运用法治手段解决道德领域突出问题。对突出的诚信缺失问题，既要抓紧建立覆盖全社会的征信系统，又要完善守法诚信褒奖机制和违法失信惩戒机制，使人不敢失信、不能失信。对见利忘义、制假售假的违法行为，要加大执法力度，让败德违法者受到惩治、付出代价。</w:t>
      </w:r>
    </w:p>
    <w:p>
      <w:pPr>
        <w:pageBreakBefore w:val="0"/>
        <w:widowControl/>
        <w:shd w:val="clear" w:color="auto" w:fill="FFFFFF"/>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cs="Helvetica"/>
          <w:color w:val="auto"/>
          <w:szCs w:val="21"/>
        </w:rPr>
      </w:pPr>
      <w:r>
        <w:rPr>
          <w:rFonts w:ascii="Helvetica" w:hAnsi="Helvetica" w:eastAsia="宋体" w:cs="Helvetica"/>
          <w:color w:val="auto"/>
          <w:kern w:val="0"/>
          <w:szCs w:val="21"/>
        </w:rPr>
        <w:t>为全面推进诚信建设，党和国家作出了一系列重要部署。中共中央办公厅印发的《关于培育和践行社会主义核心价值观的意见》强调：“以诚信建设为重点，加强社会公德、职业道德、家庭美德、个人品德教育，形成修身律已、崇德向善、礼让宽容的道德风尚。”中央文明委发布《关于推进诚信建设制度化的意见》，明确规定通过曝光失信当事人、限制严重失信者高消费行为等手段打击失信行为。这是我国第一份强调从制度层面推进国家诚信建设的中央文件。国务院先后发布《关于建立完善守信联合激励和失信联合惩成制度加快推进社会诚信建设的指导意见》《关于加快推进失信被执行人信用监督、警示和惩成机制建设的意见》，建立起社会诚信奖惩制度，并进一步完善了失信惩戒制度。诚信建设从注重教育走向教育与制度建设并重。</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cs="Helvetica"/>
          <w:b/>
          <w:bCs/>
          <w:color w:val="auto"/>
          <w:sz w:val="21"/>
          <w:szCs w:val="21"/>
        </w:rPr>
      </w:pPr>
      <w:r>
        <w:rPr>
          <w:rFonts w:cs="Helvetica"/>
          <w:b/>
          <w:bCs/>
          <w:color w:val="auto"/>
          <w:sz w:val="21"/>
          <w:szCs w:val="21"/>
        </w:rPr>
        <w:t>材料5</w:t>
      </w:r>
    </w:p>
    <w:p>
      <w:pPr>
        <w:pageBreakBefore w:val="0"/>
        <w:widowControl/>
        <w:shd w:val="clear" w:color="auto" w:fill="FFFFFF"/>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ascii="Helvetica" w:hAnsi="Helvetica" w:eastAsia="宋体" w:cs="Helvetica"/>
          <w:color w:val="auto"/>
          <w:kern w:val="0"/>
          <w:szCs w:val="21"/>
        </w:rPr>
      </w:pPr>
      <w:r>
        <w:rPr>
          <w:rFonts w:ascii="Helvetica" w:hAnsi="Helvetica" w:eastAsia="宋体" w:cs="Helvetica"/>
          <w:color w:val="auto"/>
          <w:kern w:val="0"/>
          <w:szCs w:val="21"/>
        </w:rPr>
        <w:t>“你有多少分了？”正成为F市市民茶余饭后的话题，这里的“分”指的是个人信用积分。信用积分高的居民，可在24小时自助图书馆免押金借书，还可享受部分公交线路票价八折优惠、部分医院就医优先等。“信用越来越有用”，恰如网友评价，信用正成为个人和社会的一笔宝贵财富，“无形”的信用给守信者带来“有形”的便利。</w:t>
      </w:r>
    </w:p>
    <w:p>
      <w:pPr>
        <w:pageBreakBefore w:val="0"/>
        <w:widowControl/>
        <w:shd w:val="clear" w:color="auto" w:fill="FFFFFF"/>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ascii="Helvetica" w:hAnsi="Helvetica" w:eastAsia="宋体" w:cs="Helvetica"/>
          <w:color w:val="auto"/>
          <w:kern w:val="0"/>
          <w:szCs w:val="21"/>
        </w:rPr>
      </w:pPr>
      <w:r>
        <w:rPr>
          <w:rFonts w:ascii="Helvetica" w:hAnsi="Helvetica" w:eastAsia="宋体" w:cs="Helvetica"/>
          <w:color w:val="auto"/>
          <w:kern w:val="0"/>
          <w:szCs w:val="21"/>
        </w:rPr>
        <w:t>与此同时，在动车上吸烟、在飞机上寻衅滋事、逾期不履行行政罚没款缴纳义务……这些长期以来为人们深恶痛绝的行为，将面临“寸步难行”的处罚。近日，123名限制乘坐火车严重失信人和381名限制乘坐民用航空器严重失信人新增入“信用中国网站”最新公示的名单上。“干得漂亮！就是要让失信者寸步难行！”网友的评论，代表了广大群众的心声。</w:t>
      </w:r>
    </w:p>
    <w:p>
      <w:pPr>
        <w:pageBreakBefore w:val="0"/>
        <w:widowControl/>
        <w:shd w:val="clear" w:color="auto" w:fill="FFFFFF"/>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ascii="Helvetica" w:hAnsi="Helvetica" w:eastAsia="宋体" w:cs="Helvetica"/>
          <w:color w:val="auto"/>
          <w:kern w:val="0"/>
          <w:szCs w:val="21"/>
        </w:rPr>
      </w:pPr>
      <w:r>
        <w:rPr>
          <w:rFonts w:ascii="Helvetica" w:hAnsi="Helvetica" w:eastAsia="宋体" w:cs="Helvetica"/>
          <w:color w:val="auto"/>
          <w:kern w:val="0"/>
          <w:szCs w:val="21"/>
        </w:rPr>
        <w:t>伴随着我国现代化进程的加快，传统“熟人社会”逐渐瓦解，利益主体更趋多元，经济社会交往常常在陌生地、陌生人之间进行，对全社会诚信水平提出了更高要求。党的十八大以来，从制定全国统一的信用信息采集和分类管理标准，到初步实现守信联合激励机制和失信联合惩戒机制，再到实施统一社会信用代码制度，基本建成统一的信用信息共享平台。国家信用社会体系建设步伐明显加快。 “一处失信、处处受限”的联合惩戒大格局逐步呈现，“守信受益、失信难行”的良好势头初步形成。在法院执行领域，254万失信被执行人慑于信用惩戒，主动履行义务；在税收征管领域，各级税务机关累计公布税收违法“黑名单”案件9341件，共有1170户“黑名单”当事人因主动缴清税款、滞纳金和罚款后，从“黑名单”中撤出；在电子商务领域，发布失信“黑名单”，共计987家企业，并通过全国信用信息共享平台推送至地方开展专项治理工作……基于制度建设的信用体系呼之欲出。</w:t>
      </w:r>
    </w:p>
    <w:p>
      <w:pPr>
        <w:pageBreakBefore w:val="0"/>
        <w:widowControl/>
        <w:shd w:val="clear" w:color="auto" w:fill="FFFFFF"/>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ascii="Helvetica" w:hAnsi="Helvetica" w:eastAsia="宋体" w:cs="Helvetica"/>
          <w:color w:val="auto"/>
          <w:kern w:val="0"/>
          <w:szCs w:val="21"/>
        </w:rPr>
      </w:pPr>
      <w:r>
        <w:rPr>
          <w:rFonts w:ascii="Helvetica" w:hAnsi="Helvetica" w:eastAsia="宋体" w:cs="Helvetica"/>
          <w:color w:val="auto"/>
          <w:kern w:val="0"/>
          <w:szCs w:val="21"/>
        </w:rPr>
        <w:t> 但我们也要看到社会信用体系建设依然任重道远，与社会期望还存在一定差距。不少地方，类似机动车交通违章、社区违建、路边非法占道经营等行为并未依法纳入信用体系；而对于一些企业来说，招聘财务、中高级管理岗位等职位时，也常常因为难以获得有效个人信用信息，不得不耗费大量精力调查应聘者的职业素养。</w:t>
      </w:r>
    </w:p>
    <w:p>
      <w:pPr>
        <w:pageBreakBefore w:val="0"/>
        <w:widowControl/>
        <w:shd w:val="clear" w:color="auto" w:fill="FFFFFF"/>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ascii="Helvetica" w:hAnsi="Helvetica" w:eastAsia="宋体" w:cs="Helvetica"/>
          <w:color w:val="auto"/>
          <w:kern w:val="0"/>
          <w:szCs w:val="21"/>
        </w:rPr>
      </w:pPr>
      <w:r>
        <w:rPr>
          <w:rFonts w:ascii="Helvetica" w:hAnsi="Helvetica" w:eastAsia="宋体" w:cs="Helvetica"/>
          <w:color w:val="auto"/>
          <w:kern w:val="0"/>
          <w:szCs w:val="21"/>
        </w:rPr>
        <w:t> 根据一家咨询公司数据，我国信用体系覆盖人口大约三到四亿，覆盖度约为35%。“民间征信系统虽然吸收了更全面的互联网信用信息，但多集中在购物消费、金融信贷方面，角度比较单一，难以真正反映一个人的信用状况，相对于规模巨大的市场需求仍然杯水车薪。”一家信用机构的负责人说，目前我国信用应用场景仅仅开发了1%，还有很多人对信用信息不够重视，不知道运用信用信息。</w:t>
      </w:r>
    </w:p>
    <w:p>
      <w:pPr>
        <w:pageBreakBefore w:val="0"/>
        <w:widowControl/>
        <w:shd w:val="clear" w:color="auto" w:fill="FFFFFF"/>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hint="eastAsia" w:ascii="Helvetica" w:hAnsi="Helvetica" w:eastAsia="宋体" w:cs="Helvetica"/>
          <w:color w:val="auto"/>
          <w:kern w:val="0"/>
          <w:szCs w:val="21"/>
        </w:rPr>
      </w:pPr>
      <w:r>
        <w:rPr>
          <w:rFonts w:ascii="Helvetica" w:hAnsi="Helvetica" w:eastAsia="宋体" w:cs="Helvetica"/>
          <w:color w:val="auto"/>
          <w:kern w:val="0"/>
          <w:szCs w:val="21"/>
        </w:rPr>
        <w:t>建立社会信用体系离不开对信用信息的征集，过去我国的征信工作主要由政府和银行主导。但随着时代的发展，这已越来越不能满足社会的需要，放开市场引进民营征信机构势在必行。民营机构做个人征信会否泄露个人信息，成为公众最为关注的焦点。一家网站的专题调查显示，3000多名投票网友里六成不看好民营征信发展前景，绝大部分都是出于对个人信息保护的担忧。“个人信息泄露了谁来负责？”这是网友问得最多的问题。信用体系建设，既要获取更多数据勾勒人格特征，也要注重保护每个人的隐私。对个人隐私的保护，不仅考验企业的技术能力，也考验企业的责任感和担当感。有专家说，“即便用户授权，也只采集合法、相关、必要的信息。”我国现在尚无专门的隐私权保护法，对于哪些数据涉及隐私权需要保护，缺乏明确的法律界定。“作为新生事物，对民营征信公司不宜求全责备，但相关立法和监管工作要加紧跟上。”</w:t>
      </w:r>
    </w:p>
    <w:p>
      <w:pPr>
        <w:pStyle w:val="2"/>
        <w:pageBreakBefore w:val="0"/>
        <w:shd w:val="clear" w:color="auto" w:fill="FFFFFF"/>
        <w:kinsoku/>
        <w:wordWrap/>
        <w:overflowPunct/>
        <w:topLinePunct w:val="0"/>
        <w:autoSpaceDE/>
        <w:autoSpaceDN/>
        <w:bidi w:val="0"/>
        <w:adjustRightInd w:val="0"/>
        <w:snapToGrid w:val="0"/>
        <w:spacing w:before="95" w:beforeLines="30" w:after="0" w:afterAutospacing="0" w:line="288" w:lineRule="auto"/>
        <w:ind w:firstLine="643" w:firstLineChars="200"/>
        <w:textAlignment w:val="auto"/>
        <w:rPr>
          <w:rFonts w:ascii="宋体" w:hAnsi="宋体" w:eastAsia="宋体" w:cs="Helvetica"/>
          <w:color w:val="auto"/>
        </w:rPr>
      </w:pPr>
      <w:r>
        <w:rPr>
          <w:rFonts w:ascii="宋体" w:hAnsi="宋体" w:eastAsia="宋体" w:cs="Helvetica"/>
          <w:color w:val="auto"/>
        </w:rPr>
        <w:t>三、作答要求</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cs="Helvetica"/>
          <w:color w:val="auto"/>
          <w:sz w:val="21"/>
          <w:szCs w:val="21"/>
        </w:rPr>
      </w:pPr>
      <w:r>
        <w:rPr>
          <w:rFonts w:hint="eastAsia" w:cs="Helvetica"/>
          <w:b/>
          <w:bCs/>
          <w:color w:val="auto"/>
          <w:sz w:val="21"/>
          <w:szCs w:val="21"/>
        </w:rPr>
        <w:t>（一）“给定材料1”中提到</w:t>
      </w:r>
      <w:r>
        <w:rPr>
          <w:rFonts w:cs="Helvetica"/>
          <w:b/>
          <w:bCs/>
          <w:color w:val="auto"/>
          <w:sz w:val="21"/>
          <w:szCs w:val="21"/>
        </w:rPr>
        <w:t>’</w:t>
      </w:r>
      <w:r>
        <w:rPr>
          <w:rFonts w:cs="Helvetica"/>
          <w:color w:val="auto"/>
          <w:sz w:val="21"/>
          <w:szCs w:val="21"/>
          <w:u w:val="single"/>
        </w:rPr>
        <w:t xml:space="preserve"> 随着大数据时代的来临，信用成为每个人的“第二张身份证”’</w:t>
      </w:r>
      <w:r>
        <w:rPr>
          <w:rFonts w:cs="Helvetica"/>
          <w:color w:val="auto"/>
          <w:sz w:val="21"/>
          <w:szCs w:val="21"/>
        </w:rPr>
        <w:t>,</w:t>
      </w:r>
      <w:r>
        <w:rPr>
          <w:rFonts w:hint="eastAsia" w:cs="Helvetica"/>
          <w:color w:val="auto"/>
          <w:sz w:val="21"/>
          <w:szCs w:val="21"/>
        </w:rPr>
        <w:t>请谈谈你对这句话的理解。</w:t>
      </w:r>
      <w:r>
        <w:rPr>
          <w:rFonts w:cs="Helvetica"/>
          <w:b/>
          <w:bCs/>
          <w:color w:val="auto"/>
          <w:sz w:val="21"/>
          <w:szCs w:val="21"/>
        </w:rPr>
        <w:t>（15分）</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要求：</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（1）</w:t>
      </w:r>
      <w:r>
        <w:rPr>
          <w:rFonts w:hint="eastAsia" w:cs="Helvetica"/>
          <w:color w:val="auto"/>
          <w:sz w:val="21"/>
          <w:szCs w:val="21"/>
        </w:rPr>
        <w:t>分析透彻，表达准确</w:t>
      </w:r>
      <w:r>
        <w:rPr>
          <w:rFonts w:cs="Helvetica"/>
          <w:color w:val="auto"/>
          <w:sz w:val="21"/>
          <w:szCs w:val="21"/>
        </w:rPr>
        <w:t>；</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（2）不超过200字。</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cs="Helvetica"/>
          <w:color w:val="auto"/>
          <w:sz w:val="21"/>
          <w:szCs w:val="21"/>
        </w:rPr>
      </w:pPr>
      <w:r>
        <w:rPr>
          <w:rFonts w:hint="eastAsia" w:cs="Helvetica"/>
          <w:b/>
          <w:bCs/>
          <w:color w:val="auto"/>
          <w:sz w:val="21"/>
          <w:szCs w:val="21"/>
        </w:rPr>
        <w:t>（二）</w:t>
      </w:r>
      <w:r>
        <w:rPr>
          <w:rFonts w:ascii="Helvetica" w:hAnsi="Helvetica" w:cs="Helvetica"/>
          <w:b/>
          <w:bCs/>
          <w:color w:val="auto"/>
          <w:sz w:val="21"/>
          <w:szCs w:val="21"/>
          <w:shd w:val="clear" w:color="auto" w:fill="FFFFFF"/>
        </w:rPr>
        <w:t>根据“给定资料</w:t>
      </w:r>
      <w:r>
        <w:rPr>
          <w:rFonts w:ascii="Helvetica" w:hAnsi="Helvetica" w:cs="Helvetica"/>
          <w:color w:val="auto"/>
          <w:sz w:val="21"/>
          <w:szCs w:val="21"/>
          <w:shd w:val="clear" w:color="auto" w:fill="FFFFFF"/>
        </w:rPr>
        <w:t>2</w:t>
      </w:r>
      <w:r>
        <w:rPr>
          <w:rFonts w:ascii="Helvetica" w:hAnsi="Helvetica" w:cs="Helvetica"/>
          <w:b/>
          <w:bCs/>
          <w:color w:val="auto"/>
          <w:sz w:val="21"/>
          <w:szCs w:val="21"/>
          <w:shd w:val="clear" w:color="auto" w:fill="FFFFFF"/>
        </w:rPr>
        <w:t>”，请谈谈M县采取了哪些有效措施推进金融扶贫。</w:t>
      </w:r>
      <w:r>
        <w:rPr>
          <w:rFonts w:cs="Helvetica"/>
          <w:b/>
          <w:bCs/>
          <w:color w:val="auto"/>
          <w:sz w:val="21"/>
          <w:szCs w:val="21"/>
        </w:rPr>
        <w:t>（20分）</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要求：</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（1）内容全面，</w:t>
      </w:r>
      <w:r>
        <w:rPr>
          <w:rFonts w:hint="eastAsia" w:cs="Helvetica"/>
          <w:color w:val="auto"/>
          <w:sz w:val="21"/>
          <w:szCs w:val="21"/>
        </w:rPr>
        <w:t>条理清晰</w:t>
      </w:r>
      <w:r>
        <w:rPr>
          <w:rFonts w:cs="Helvetica"/>
          <w:color w:val="auto"/>
          <w:sz w:val="21"/>
          <w:szCs w:val="21"/>
        </w:rPr>
        <w:t>；</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（2）不超过300字。</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cs="Helvetica"/>
          <w:b/>
          <w:bCs/>
          <w:color w:val="auto"/>
          <w:sz w:val="21"/>
          <w:szCs w:val="21"/>
        </w:rPr>
      </w:pPr>
      <w:r>
        <w:rPr>
          <w:rFonts w:hint="eastAsia" w:cs="Helvetica"/>
          <w:b/>
          <w:bCs/>
          <w:color w:val="auto"/>
          <w:sz w:val="21"/>
          <w:szCs w:val="21"/>
        </w:rPr>
        <w:t>（三）</w:t>
      </w:r>
      <w:r>
        <w:rPr>
          <w:rFonts w:cs="Helvetica"/>
          <w:b/>
          <w:bCs/>
          <w:color w:val="auto"/>
          <w:sz w:val="21"/>
          <w:szCs w:val="21"/>
        </w:rPr>
        <w:t>根据“给定资料3”，假定你是某市市场监管管理局的工作人员，请就加强本市电商诚信体系建设提出政策建议。（25分）</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要求：</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（1）紧扣资料，</w:t>
      </w:r>
      <w:r>
        <w:rPr>
          <w:rFonts w:hint="eastAsia" w:cs="Helvetica"/>
          <w:color w:val="auto"/>
          <w:sz w:val="21"/>
          <w:szCs w:val="21"/>
        </w:rPr>
        <w:t>建议可行</w:t>
      </w:r>
      <w:r>
        <w:rPr>
          <w:rFonts w:cs="Helvetica"/>
          <w:color w:val="auto"/>
          <w:sz w:val="21"/>
          <w:szCs w:val="21"/>
        </w:rPr>
        <w:t>；</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（2）</w:t>
      </w:r>
      <w:r>
        <w:rPr>
          <w:rFonts w:hint="eastAsia" w:cs="Helvetica"/>
          <w:color w:val="auto"/>
          <w:sz w:val="21"/>
          <w:szCs w:val="21"/>
        </w:rPr>
        <w:t>内容具体</w:t>
      </w:r>
      <w:r>
        <w:rPr>
          <w:rFonts w:cs="Helvetica"/>
          <w:color w:val="auto"/>
          <w:sz w:val="21"/>
          <w:szCs w:val="21"/>
        </w:rPr>
        <w:t>，</w:t>
      </w:r>
      <w:r>
        <w:rPr>
          <w:rFonts w:hint="eastAsia" w:cs="Helvetica"/>
          <w:color w:val="auto"/>
          <w:sz w:val="21"/>
          <w:szCs w:val="21"/>
        </w:rPr>
        <w:t>不考虑格式</w:t>
      </w:r>
      <w:r>
        <w:rPr>
          <w:rFonts w:cs="Helvetica"/>
          <w:color w:val="auto"/>
          <w:sz w:val="21"/>
          <w:szCs w:val="21"/>
        </w:rPr>
        <w:t>；</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（3）不超过400字。</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ascii="Helvetica" w:hAnsi="Helvetica" w:cs="Helvetica"/>
          <w:color w:val="auto"/>
          <w:sz w:val="21"/>
          <w:szCs w:val="21"/>
        </w:rPr>
      </w:pPr>
      <w:r>
        <w:rPr>
          <w:rFonts w:hint="eastAsia" w:cs="Helvetica"/>
          <w:b/>
          <w:bCs/>
          <w:color w:val="auto"/>
          <w:sz w:val="21"/>
          <w:szCs w:val="21"/>
        </w:rPr>
        <w:t>（四）</w:t>
      </w:r>
      <w:r>
        <w:rPr>
          <w:rFonts w:ascii="Helvetica" w:hAnsi="Helvetica" w:cs="Helvetica"/>
          <w:b/>
          <w:bCs/>
          <w:color w:val="auto"/>
          <w:sz w:val="21"/>
          <w:szCs w:val="21"/>
        </w:rPr>
        <w:t>给定资料</w:t>
      </w:r>
      <w:r>
        <w:rPr>
          <w:rFonts w:hint="eastAsia" w:ascii="Helvetica" w:hAnsi="Helvetica" w:cs="Helvetica"/>
          <w:b/>
          <w:bCs/>
          <w:color w:val="auto"/>
          <w:sz w:val="21"/>
          <w:szCs w:val="21"/>
        </w:rPr>
        <w:t>1</w:t>
      </w:r>
      <w:r>
        <w:rPr>
          <w:rFonts w:ascii="Helvetica" w:hAnsi="Helvetica" w:cs="Helvetica"/>
          <w:b/>
          <w:bCs/>
          <w:color w:val="auto"/>
          <w:sz w:val="21"/>
          <w:szCs w:val="21"/>
        </w:rPr>
        <w:t>中提到，“信用既是一种道德品质，也是一种制度和规则”，请以信用的“柔性”与“刚性”为主题，自拟题目，写一篇议论文。（40分）</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要求：</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（1）自选角度，立意明确；</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（2）</w:t>
      </w:r>
      <w:r>
        <w:rPr>
          <w:rFonts w:hint="eastAsia" w:cs="Helvetica"/>
          <w:color w:val="auto"/>
          <w:sz w:val="21"/>
          <w:szCs w:val="21"/>
        </w:rPr>
        <w:t>参考</w:t>
      </w:r>
      <w:r>
        <w:rPr>
          <w:rFonts w:cs="Helvetica"/>
          <w:color w:val="auto"/>
          <w:sz w:val="21"/>
          <w:szCs w:val="21"/>
        </w:rPr>
        <w:t>“给定资料”</w:t>
      </w:r>
      <w:r>
        <w:rPr>
          <w:rFonts w:hint="eastAsia" w:cs="Helvetica"/>
          <w:color w:val="auto"/>
          <w:sz w:val="21"/>
          <w:szCs w:val="21"/>
        </w:rPr>
        <w:t>，但不拘泥于“给定材料”</w:t>
      </w:r>
      <w:r>
        <w:rPr>
          <w:rFonts w:cs="Helvetica"/>
          <w:color w:val="auto"/>
          <w:sz w:val="21"/>
          <w:szCs w:val="21"/>
        </w:rPr>
        <w:t>；</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cs="Helvetica"/>
          <w:color w:val="auto"/>
          <w:sz w:val="21"/>
          <w:szCs w:val="21"/>
        </w:rPr>
        <w:t>（3）思路清晰，语言流畅；</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ascii="Helvetica" w:hAnsi="Helvetica" w:cs="Helvetica"/>
          <w:color w:val="auto"/>
          <w:sz w:val="21"/>
          <w:szCs w:val="21"/>
        </w:rPr>
      </w:pPr>
      <w:r>
        <w:rPr>
          <w:rFonts w:cs="Helvetica"/>
          <w:color w:val="auto"/>
          <w:sz w:val="21"/>
          <w:szCs w:val="21"/>
        </w:rPr>
        <w:t>（4）总字数1000</w:t>
      </w:r>
      <w:r>
        <w:rPr>
          <w:rFonts w:hint="eastAsia" w:cs="Helvetica"/>
          <w:color w:val="auto"/>
          <w:sz w:val="21"/>
          <w:szCs w:val="21"/>
        </w:rPr>
        <w:t>~</w:t>
      </w:r>
      <w:r>
        <w:rPr>
          <w:rFonts w:cs="Helvetica"/>
          <w:color w:val="auto"/>
          <w:sz w:val="21"/>
          <w:szCs w:val="21"/>
        </w:rPr>
        <w:t>1200字</w:t>
      </w:r>
      <w:r>
        <w:rPr>
          <w:rFonts w:ascii="Helvetica" w:hAnsi="Helvetica" w:cs="Helvetica"/>
          <w:color w:val="auto"/>
          <w:sz w:val="21"/>
          <w:szCs w:val="21"/>
        </w:rPr>
        <w:t>。</w:t>
      </w:r>
    </w:p>
    <w:p>
      <w:pPr>
        <w:pageBreakBefore w:val="0"/>
        <w:widowControl/>
        <w:kinsoku/>
        <w:wordWrap/>
        <w:overflowPunct/>
        <w:topLinePunct w:val="0"/>
        <w:autoSpaceDE/>
        <w:autoSpaceDN/>
        <w:bidi w:val="0"/>
        <w:adjustRightInd w:val="0"/>
        <w:snapToGrid w:val="0"/>
        <w:spacing w:before="95" w:beforeLines="30" w:afterAutospacing="0" w:line="288" w:lineRule="auto"/>
        <w:ind w:firstLine="420" w:firstLineChars="200"/>
        <w:jc w:val="left"/>
        <w:textAlignment w:val="auto"/>
        <w:rPr>
          <w:rFonts w:ascii="Helvetica" w:hAnsi="Helvetica" w:eastAsia="宋体" w:cs="Helvetica"/>
          <w:color w:val="auto"/>
          <w:kern w:val="0"/>
          <w:szCs w:val="21"/>
        </w:rPr>
      </w:pPr>
      <w:r>
        <w:rPr>
          <w:rFonts w:ascii="Helvetica" w:hAnsi="Helvetica" w:cs="Helvetica"/>
          <w:color w:val="auto"/>
          <w:szCs w:val="21"/>
        </w:rPr>
        <w:br w:type="page"/>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ascii="Helvetica" w:hAnsi="Helvetica" w:cs="Helvetica"/>
          <w:color w:val="auto"/>
          <w:sz w:val="21"/>
          <w:szCs w:val="21"/>
        </w:rPr>
      </w:pPr>
    </w:p>
    <w:p>
      <w:pPr>
        <w:pStyle w:val="3"/>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643" w:firstLineChars="200"/>
        <w:jc w:val="center"/>
        <w:textAlignment w:val="auto"/>
        <w:rPr>
          <w:rFonts w:cs="Helvetica"/>
          <w:b/>
          <w:bCs/>
          <w:color w:val="auto"/>
          <w:sz w:val="32"/>
          <w:szCs w:val="32"/>
        </w:rPr>
      </w:pPr>
      <w:r>
        <w:rPr>
          <w:rFonts w:cs="Helvetica"/>
          <w:b/>
          <w:bCs/>
          <w:color w:val="auto"/>
          <w:sz w:val="32"/>
          <w:szCs w:val="32"/>
        </w:rPr>
        <w:t>2019年公务员多省联考《申论》真题（黑龙江</w:t>
      </w:r>
      <w:r>
        <w:rPr>
          <w:rFonts w:hint="eastAsia" w:cs="Helvetica"/>
          <w:b/>
          <w:bCs/>
          <w:color w:val="auto"/>
          <w:sz w:val="32"/>
          <w:szCs w:val="32"/>
        </w:rPr>
        <w:t>省直</w:t>
      </w:r>
      <w:r>
        <w:rPr>
          <w:rFonts w:cs="Helvetica"/>
          <w:b/>
          <w:bCs/>
          <w:color w:val="auto"/>
          <w:sz w:val="32"/>
          <w:szCs w:val="32"/>
        </w:rPr>
        <w:t>卷）（解析）</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jc w:val="center"/>
        <w:textAlignment w:val="auto"/>
        <w:rPr>
          <w:rFonts w:cs="Helvetica"/>
          <w:color w:val="auto"/>
          <w:sz w:val="21"/>
          <w:szCs w:val="21"/>
        </w:rPr>
      </w:pPr>
      <w:r>
        <w:rPr>
          <w:rFonts w:cs="Helvetica"/>
          <w:color w:val="auto"/>
          <w:sz w:val="21"/>
          <w:szCs w:val="21"/>
        </w:rPr>
        <w:t>分类：申论/黑龙江来源：</w:t>
      </w:r>
      <w:r>
        <w:rPr>
          <w:rFonts w:hint="eastAsia" w:cs="Helvetica"/>
          <w:color w:val="auto"/>
          <w:sz w:val="21"/>
          <w:szCs w:val="21"/>
        </w:rPr>
        <w:t>中公</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22" w:firstLineChars="200"/>
        <w:textAlignment w:val="auto"/>
        <w:rPr>
          <w:rFonts w:cs="Helvetica"/>
          <w:b/>
          <w:bCs/>
          <w:color w:val="auto"/>
          <w:sz w:val="26"/>
          <w:szCs w:val="26"/>
        </w:rPr>
      </w:pPr>
      <w:r>
        <w:rPr>
          <w:rFonts w:cs="Helvetica"/>
          <w:b/>
          <w:bCs/>
          <w:color w:val="auto"/>
          <w:sz w:val="26"/>
          <w:szCs w:val="26"/>
        </w:rPr>
        <w:t>1、参考答案：</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这句话是指中国正在迈进信用社会，个人信用信息能够</w:t>
      </w:r>
      <w:bookmarkStart w:id="0" w:name="_GoBack"/>
      <w:bookmarkEnd w:id="0"/>
      <w:r>
        <w:rPr>
          <w:rFonts w:hint="eastAsia" w:cs="Helvetica"/>
          <w:color w:val="auto"/>
          <w:sz w:val="21"/>
          <w:szCs w:val="21"/>
        </w:rPr>
        <w:t>勾勒人格，反映公民在公共事务中的态度和做法。随着信用体系的不断完善，每个人、每个机构的信用度都可以被量化，信用逐步“变现”。诚实守信的市民和商家会享受到非常大的便利，政府的管理效率也将大大提高，从而推动整个社会综合治理的发展。信用既是道德品质也是制度和规则，信用体系全面建立，不仅能够解决押金带来的纠纷，更能塑造和谐社会，使每个人都更规矩。</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22" w:firstLineChars="200"/>
        <w:textAlignment w:val="auto"/>
        <w:rPr>
          <w:rFonts w:cs="Helvetica"/>
          <w:b/>
          <w:bCs/>
          <w:color w:val="auto"/>
          <w:sz w:val="26"/>
          <w:szCs w:val="26"/>
        </w:rPr>
      </w:pPr>
      <w:r>
        <w:rPr>
          <w:rFonts w:cs="Helvetica"/>
          <w:b/>
          <w:bCs/>
          <w:color w:val="auto"/>
          <w:sz w:val="26"/>
          <w:szCs w:val="26"/>
        </w:rPr>
        <w:t>2、参考答案：</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一、推行扶贫小额信贷。贫困户经过评级授信无需抵押和担保即可拿到贷款，授信工作自下而上审批程序少，贷款利息低。</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二、提供扶贫产业指导，根据市场供需与自身情况选择扶贫产业，以“能人”带动大多数贫困户一起发展。</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三、建立利益联结机制，贫困户将小额信贷资金委托给公司，公司负责技术服务和经营管理，政府在贫困户和扶贫经济组织之间建立紧密的利益联结机制。</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四、保障扶贫资金安全，建立贫困户小额信贷风险补偿初始资金，成立扶贫开发责任公司和产业扶贫协会，对扶贫资金全程监管，制定产业扶贫的行业标准。</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22" w:firstLineChars="200"/>
        <w:textAlignment w:val="auto"/>
        <w:rPr>
          <w:rFonts w:cs="Helvetica"/>
          <w:b/>
          <w:bCs/>
          <w:color w:val="auto"/>
          <w:sz w:val="26"/>
          <w:szCs w:val="26"/>
        </w:rPr>
      </w:pPr>
      <w:r>
        <w:rPr>
          <w:rFonts w:cs="Helvetica"/>
          <w:b/>
          <w:bCs/>
          <w:color w:val="auto"/>
          <w:sz w:val="26"/>
          <w:szCs w:val="26"/>
        </w:rPr>
        <w:t>3、参考答案：</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为加强本市电商诚信体系建设，现提出以下建议。</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一、严格贯彻法规政策。严格贯彻国家及市政府出台的法规和政策，推动电子商务领域诚信体系建设，部署电商领域信用工作，逐步建立统一的电子商务信用评价体系。</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二、鼓励引导电商平台。鼓励电商平台成立诚信联盟，签署《电子商务诚信公约》，通过互联网手段促进行业自律，建立信息共享机制，设立专属网站；引导平台以多种方式开展诚信建设活动，如诚信查询平台、透明计划、必备保障承诺、多角度识别筛选商家、加盟商签署诚信承诺书等。</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三、开展电商培训活动。以讲座、座谈会等方式提高电商技术能力和服务水平，推广优秀电商经验，如是设立社区店、为周边居民提供综合服务、设计加密运单等。</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cs="Helvetica"/>
          <w:color w:val="auto"/>
          <w:sz w:val="21"/>
          <w:szCs w:val="21"/>
        </w:rPr>
      </w:pPr>
      <w:r>
        <w:rPr>
          <w:rFonts w:hint="eastAsia" w:cs="Helvetica"/>
          <w:color w:val="auto"/>
          <w:sz w:val="21"/>
          <w:szCs w:val="21"/>
        </w:rPr>
        <w:t>四、是依法进行信用监管。与行业组织和信用机构合作，对电商平台依法进行信用监管，维护电子商务良好秩序。</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22" w:firstLineChars="200"/>
        <w:textAlignment w:val="auto"/>
        <w:rPr>
          <w:rFonts w:cs="Helvetica"/>
          <w:b/>
          <w:bCs/>
          <w:color w:val="auto"/>
          <w:sz w:val="26"/>
          <w:szCs w:val="26"/>
        </w:rPr>
      </w:pPr>
      <w:r>
        <w:rPr>
          <w:rFonts w:cs="Helvetica"/>
          <w:b/>
          <w:bCs/>
          <w:color w:val="auto"/>
          <w:sz w:val="26"/>
          <w:szCs w:val="26"/>
        </w:rPr>
        <w:t>4、参考答案：</w:t>
      </w:r>
    </w:p>
    <w:p>
      <w:pPr>
        <w:pStyle w:val="7"/>
        <w:pageBreakBefore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jc w:val="center"/>
        <w:textAlignment w:val="auto"/>
        <w:rPr>
          <w:rFonts w:cs="Helvetica"/>
          <w:color w:val="auto"/>
          <w:sz w:val="21"/>
          <w:szCs w:val="21"/>
        </w:rPr>
      </w:pPr>
      <w:r>
        <w:rPr>
          <w:rFonts w:hint="eastAsia" w:cs="Helvetica"/>
          <w:color w:val="auto"/>
          <w:sz w:val="21"/>
          <w:szCs w:val="21"/>
        </w:rPr>
        <w:t>信用建设贵在“刚柔并济”</w:t>
      </w:r>
    </w:p>
    <w:p>
      <w:pPr>
        <w:pageBreakBefore w:val="0"/>
        <w:kinsoku/>
        <w:wordWrap/>
        <w:overflowPunct/>
        <w:topLinePunct w:val="0"/>
        <w:autoSpaceDE/>
        <w:autoSpaceDN/>
        <w:bidi w:val="0"/>
        <w:adjustRightInd w:val="0"/>
        <w:snapToGrid w:val="0"/>
        <w:spacing w:before="95" w:beforeLines="30" w:afterAutospacing="0" w:line="288" w:lineRule="auto"/>
        <w:ind w:firstLine="420" w:firstLineChars="200"/>
        <w:textAlignment w:val="auto"/>
        <w:rPr>
          <w:rFonts w:ascii="宋体" w:hAnsi="宋体" w:eastAsia="宋体"/>
          <w:color w:val="auto"/>
        </w:rPr>
      </w:pPr>
      <w:r>
        <w:rPr>
          <w:rFonts w:hint="eastAsia" w:ascii="宋体" w:hAnsi="宋体" w:eastAsia="宋体"/>
          <w:color w:val="auto"/>
        </w:rPr>
        <w:t>“君子之言，信而有征，故怨远于其身。”自古以来诚信就为中国人所珍视。诚信是社会正常运行的基础，更是社会和谐的重要标志。然而长久以来，信用在我国更多的被认为是道德品质，信用制度和规则建设滞后。过“柔”的教育手段致使守信者吃亏，失信者横行。因此诚信建设需要“刚柔并济”，从注重教育走向教育与制度并重。</w:t>
      </w:r>
    </w:p>
    <w:p>
      <w:pPr>
        <w:pageBreakBefore w:val="0"/>
        <w:kinsoku/>
        <w:wordWrap/>
        <w:overflowPunct/>
        <w:topLinePunct w:val="0"/>
        <w:autoSpaceDE/>
        <w:autoSpaceDN/>
        <w:bidi w:val="0"/>
        <w:adjustRightInd w:val="0"/>
        <w:snapToGrid w:val="0"/>
        <w:spacing w:before="95" w:beforeLines="30" w:afterAutospacing="0" w:line="288" w:lineRule="auto"/>
        <w:ind w:firstLine="420" w:firstLineChars="200"/>
        <w:textAlignment w:val="auto"/>
        <w:rPr>
          <w:rFonts w:ascii="宋体" w:hAnsi="宋体" w:eastAsia="宋体"/>
          <w:color w:val="auto"/>
        </w:rPr>
      </w:pPr>
      <w:r>
        <w:rPr>
          <w:rFonts w:hint="eastAsia" w:ascii="宋体" w:hAnsi="宋体" w:eastAsia="宋体"/>
          <w:color w:val="auto"/>
        </w:rPr>
        <w:t>制度之“刚”是失信行为的高压线。“有制之兵，无能之将，不可以败。”制度的约束力往往对提升执行力有着立竿见影的作用。但长期以来，我国信用立法相对滞后，信用监管尚存漏洞，失信者违规违法成本太低。共享单车到破坏、行人闯红灯、开车保电话粥的现象，因无制度可依，愈演愈烈。习近平总书记曾着重强调，构建一处失信、处处受限的信用惩戒大格局，让失信者寸步难行。只有从制度层面入手，健全社会征信体系，完善诚信奖惩机制，加快信用立法和监管的建设步伐，对失信行为进行刚性约束，才能使人们对诚信产生敬畏之心，让以身犯险之人越来越少。</w:t>
      </w:r>
    </w:p>
    <w:p>
      <w:pPr>
        <w:pageBreakBefore w:val="0"/>
        <w:kinsoku/>
        <w:wordWrap/>
        <w:overflowPunct/>
        <w:topLinePunct w:val="0"/>
        <w:autoSpaceDE/>
        <w:autoSpaceDN/>
        <w:bidi w:val="0"/>
        <w:adjustRightInd w:val="0"/>
        <w:snapToGrid w:val="0"/>
        <w:spacing w:before="95" w:beforeLines="30" w:afterAutospacing="0" w:line="288" w:lineRule="auto"/>
        <w:ind w:firstLine="420" w:firstLineChars="200"/>
        <w:textAlignment w:val="auto"/>
        <w:rPr>
          <w:rFonts w:ascii="宋体" w:hAnsi="宋体" w:eastAsia="宋体"/>
          <w:color w:val="auto"/>
        </w:rPr>
      </w:pPr>
      <w:r>
        <w:rPr>
          <w:rFonts w:hint="eastAsia" w:ascii="宋体" w:hAnsi="宋体" w:eastAsia="宋体"/>
          <w:color w:val="auto"/>
        </w:rPr>
        <w:t>教育之“柔”是守信行为的营养土。信用，能体现公民在公共事务中的态度和做法，反映人们的履行能力和履约意识。尤其是随着大数据时代的来临，信用逐步“变现”成为每个人的第二张身份证。然而在实践过程中，不仅很多普通民众对信用信息不重视、不了解，甚至一些教育工作者也缺乏基本的信用安全知识。加大信用教育的力度，拓宽常识教育的广度，已成为新时代对教育主管部门工作和职责的要求。“教育之于心灵，犹雕刻之于大理石”，诚信教育能够于无声处滋润人的心灵，培养人的习惯，让诚实守信成为人们内心的渴望。</w:t>
      </w:r>
    </w:p>
    <w:p>
      <w:pPr>
        <w:pageBreakBefore w:val="0"/>
        <w:kinsoku/>
        <w:wordWrap/>
        <w:overflowPunct/>
        <w:topLinePunct w:val="0"/>
        <w:autoSpaceDE/>
        <w:autoSpaceDN/>
        <w:bidi w:val="0"/>
        <w:adjustRightInd w:val="0"/>
        <w:snapToGrid w:val="0"/>
        <w:spacing w:before="95" w:beforeLines="30" w:afterAutospacing="0" w:line="288" w:lineRule="auto"/>
        <w:ind w:firstLine="420" w:firstLineChars="200"/>
        <w:textAlignment w:val="auto"/>
        <w:rPr>
          <w:rFonts w:ascii="宋体" w:hAnsi="宋体" w:eastAsia="宋体"/>
          <w:color w:val="auto"/>
        </w:rPr>
      </w:pPr>
      <w:r>
        <w:rPr>
          <w:rFonts w:hint="eastAsia" w:ascii="宋体" w:hAnsi="宋体" w:eastAsia="宋体"/>
          <w:color w:val="auto"/>
        </w:rPr>
        <w:t>刚柔并济，使诚信内化于心，外化于行，制度以规则、法律界定了不可为，使人们不敢失信、不能失信，但并不意味着人们发自内心的尊重诚信，愿意诚信。教育则能普及信用知识，增强人们的信用意识，形成以守信为荣，人人争相守信的良好氛围。制度之刚设立底线，教育之柔彰显高线，两者结合才能让诚信成为社会共同的价值追求和行为准则。</w:t>
      </w:r>
    </w:p>
    <w:p>
      <w:pPr>
        <w:pageBreakBefore w:val="0"/>
        <w:kinsoku/>
        <w:wordWrap/>
        <w:overflowPunct/>
        <w:topLinePunct w:val="0"/>
        <w:autoSpaceDE/>
        <w:autoSpaceDN/>
        <w:bidi w:val="0"/>
        <w:adjustRightInd w:val="0"/>
        <w:snapToGrid w:val="0"/>
        <w:spacing w:before="95" w:beforeLines="30" w:afterAutospacing="0" w:line="288" w:lineRule="auto"/>
        <w:ind w:firstLine="420" w:firstLineChars="200"/>
        <w:textAlignment w:val="auto"/>
        <w:rPr>
          <w:rFonts w:ascii="宋体" w:hAnsi="宋体" w:eastAsia="宋体"/>
          <w:color w:val="auto"/>
        </w:rPr>
      </w:pPr>
      <w:r>
        <w:rPr>
          <w:rFonts w:hint="eastAsia" w:ascii="宋体" w:hAnsi="宋体" w:eastAsia="宋体"/>
          <w:color w:val="auto"/>
        </w:rPr>
        <w:t>“我们生而为中国人，最根本的是我们有中国人独特的精神世界，有百姓日用而不觉的价值观”，诚信作为古今国人的一致追求，必须继承、发扬；失去诚信也就失去了中国人共同的价值观，失去了社会健康运行的基础。通过信用制度和诚信教育共同作用，使诚信内化于心、外化于行，方能建立信用城市，塑造和谐社会，使社会的运作更有效率。</w:t>
      </w:r>
    </w:p>
    <w:sectPr>
      <w:headerReference r:id="rId3" w:type="default"/>
      <w:footerReference r:id="rId4" w:type="default"/>
      <w:pgSz w:w="11906" w:h="16838"/>
      <w:pgMar w:top="703" w:right="1009" w:bottom="703" w:left="1009" w:header="283" w:footer="283"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2A"/>
    <w:rsid w:val="00016999"/>
    <w:rsid w:val="000D0942"/>
    <w:rsid w:val="00153244"/>
    <w:rsid w:val="001B2DB0"/>
    <w:rsid w:val="001F2E7F"/>
    <w:rsid w:val="002048B6"/>
    <w:rsid w:val="00230D49"/>
    <w:rsid w:val="00241459"/>
    <w:rsid w:val="00264EE6"/>
    <w:rsid w:val="002A21A7"/>
    <w:rsid w:val="00305512"/>
    <w:rsid w:val="00316F72"/>
    <w:rsid w:val="00346FD7"/>
    <w:rsid w:val="0036628C"/>
    <w:rsid w:val="003A7AAE"/>
    <w:rsid w:val="003D3664"/>
    <w:rsid w:val="003D653F"/>
    <w:rsid w:val="004434A7"/>
    <w:rsid w:val="00485E20"/>
    <w:rsid w:val="004B6A9F"/>
    <w:rsid w:val="0052320C"/>
    <w:rsid w:val="00531DA1"/>
    <w:rsid w:val="00556BDD"/>
    <w:rsid w:val="00594EDB"/>
    <w:rsid w:val="005A0390"/>
    <w:rsid w:val="005D3836"/>
    <w:rsid w:val="005D4C79"/>
    <w:rsid w:val="005F5924"/>
    <w:rsid w:val="0061488F"/>
    <w:rsid w:val="00647EB4"/>
    <w:rsid w:val="00653DEE"/>
    <w:rsid w:val="00654E2A"/>
    <w:rsid w:val="00656629"/>
    <w:rsid w:val="006A3609"/>
    <w:rsid w:val="006A6FD7"/>
    <w:rsid w:val="006C0C1F"/>
    <w:rsid w:val="0070527E"/>
    <w:rsid w:val="00712948"/>
    <w:rsid w:val="00774861"/>
    <w:rsid w:val="00775392"/>
    <w:rsid w:val="007D066C"/>
    <w:rsid w:val="008244B7"/>
    <w:rsid w:val="00847DFF"/>
    <w:rsid w:val="008E735A"/>
    <w:rsid w:val="0090156A"/>
    <w:rsid w:val="0099242D"/>
    <w:rsid w:val="009E0E36"/>
    <w:rsid w:val="00A160C9"/>
    <w:rsid w:val="00A234DE"/>
    <w:rsid w:val="00A42EBB"/>
    <w:rsid w:val="00A43F74"/>
    <w:rsid w:val="00B10DAB"/>
    <w:rsid w:val="00B16FC4"/>
    <w:rsid w:val="00B178EA"/>
    <w:rsid w:val="00BA5044"/>
    <w:rsid w:val="00BC1CD9"/>
    <w:rsid w:val="00C02C56"/>
    <w:rsid w:val="00C50CCB"/>
    <w:rsid w:val="00C547B4"/>
    <w:rsid w:val="00C93156"/>
    <w:rsid w:val="00CB65C3"/>
    <w:rsid w:val="00CC5B7B"/>
    <w:rsid w:val="00CC78B5"/>
    <w:rsid w:val="00CE41F6"/>
    <w:rsid w:val="00D42A74"/>
    <w:rsid w:val="00D450E3"/>
    <w:rsid w:val="00D531B1"/>
    <w:rsid w:val="00D97B0A"/>
    <w:rsid w:val="00E538D9"/>
    <w:rsid w:val="00E82CD2"/>
    <w:rsid w:val="00ED06CB"/>
    <w:rsid w:val="00ED4DBF"/>
    <w:rsid w:val="00EE1A5D"/>
    <w:rsid w:val="00EE322D"/>
    <w:rsid w:val="00F40370"/>
    <w:rsid w:val="00F4675E"/>
    <w:rsid w:val="332E1EE7"/>
    <w:rsid w:val="3C1D44CE"/>
    <w:rsid w:val="502176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7"/>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alloon Text"/>
    <w:basedOn w:val="1"/>
    <w:link w:val="15"/>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paragraph" w:customStyle="1" w:styleId="11">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2">
    <w:name w:val="页眉 字符"/>
    <w:basedOn w:val="9"/>
    <w:link w:val="6"/>
    <w:qFormat/>
    <w:uiPriority w:val="99"/>
    <w:rPr>
      <w:sz w:val="18"/>
      <w:szCs w:val="18"/>
    </w:rPr>
  </w:style>
  <w:style w:type="character" w:customStyle="1" w:styleId="13">
    <w:name w:val="页脚 字符"/>
    <w:basedOn w:val="9"/>
    <w:link w:val="5"/>
    <w:qFormat/>
    <w:uiPriority w:val="99"/>
    <w:rPr>
      <w:sz w:val="18"/>
      <w:szCs w:val="18"/>
    </w:rPr>
  </w:style>
  <w:style w:type="character" w:styleId="14">
    <w:name w:val="Placeholder Text"/>
    <w:basedOn w:val="9"/>
    <w:semiHidden/>
    <w:qFormat/>
    <w:uiPriority w:val="99"/>
    <w:rPr>
      <w:color w:val="808080"/>
    </w:rPr>
  </w:style>
  <w:style w:type="character" w:customStyle="1" w:styleId="15">
    <w:name w:val="批注框文本 字符"/>
    <w:basedOn w:val="9"/>
    <w:link w:val="4"/>
    <w:semiHidden/>
    <w:qFormat/>
    <w:uiPriority w:val="99"/>
    <w:rPr>
      <w:sz w:val="18"/>
      <w:szCs w:val="18"/>
    </w:rPr>
  </w:style>
  <w:style w:type="character" w:customStyle="1" w:styleId="16">
    <w:name w:val="apple-converted-space"/>
    <w:basedOn w:val="9"/>
    <w:qFormat/>
    <w:uiPriority w:val="0"/>
  </w:style>
  <w:style w:type="character" w:customStyle="1" w:styleId="17">
    <w:name w:val="标题 3 字符"/>
    <w:basedOn w:val="9"/>
    <w:link w:val="3"/>
    <w:qFormat/>
    <w:uiPriority w:val="9"/>
    <w:rPr>
      <w:rFonts w:ascii="宋体" w:hAnsi="宋体" w:eastAsia="宋体" w:cs="宋体"/>
      <w:b/>
      <w:bCs/>
      <w:kern w:val="0"/>
      <w:sz w:val="27"/>
      <w:szCs w:val="27"/>
    </w:rPr>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1425</Words>
  <Characters>8124</Characters>
  <Lines>67</Lines>
  <Paragraphs>19</Paragraphs>
  <TotalTime>87</TotalTime>
  <ScaleCrop>false</ScaleCrop>
  <LinksUpToDate>false</LinksUpToDate>
  <CharactersWithSpaces>9530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2019-09-30T06:16:00Z</dcterms:created>
  <dc:creator>Windows 用户</dc:creator>
  <cp:lastModifiedBy>春风下的杨柳</cp:lastModifiedBy>
  <dcterms:modified xsi:type="dcterms:W3CDTF">2020-09-04T08:44:10Z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