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suppressLineNumbers w:val="0"/>
        <w:shd w:val="clear" w:fill="FFFFFF"/>
        <w:kinsoku/>
        <w:wordWrap/>
        <w:overflowPunct/>
        <w:topLinePunct w:val="0"/>
        <w:bidi w:val="0"/>
        <w:snapToGrid/>
        <w:spacing w:before="95" w:beforeLines="30" w:beforeAutospacing="0" w:after="0" w:afterAutospacing="0" w:line="288" w:lineRule="auto"/>
        <w:ind w:left="0" w:firstLine="562" w:firstLineChars="200"/>
        <w:jc w:val="center"/>
        <w:textAlignment w:val="auto"/>
        <w:rPr>
          <w:rFonts w:hint="eastAsia" w:ascii="宋体" w:hAnsi="宋体" w:eastAsia="宋体" w:cs="宋体"/>
          <w:i w:val="0"/>
          <w:caps w:val="0"/>
          <w:color w:val="333333"/>
          <w:spacing w:val="0"/>
          <w:sz w:val="28"/>
          <w:szCs w:val="28"/>
        </w:rPr>
      </w:pPr>
      <w:r>
        <w:rPr>
          <w:rFonts w:hint="eastAsia" w:ascii="宋体" w:hAnsi="宋体" w:eastAsia="宋体" w:cs="宋体"/>
          <w:i w:val="0"/>
          <w:caps w:val="0"/>
          <w:color w:val="333333"/>
          <w:spacing w:val="0"/>
          <w:sz w:val="28"/>
          <w:szCs w:val="28"/>
          <w:shd w:val="clear" w:fill="FFFFFF"/>
        </w:rPr>
        <w:t>2018年公务员多省联考《申论》真题（安徽B卷）</w:t>
      </w:r>
    </w:p>
    <w:p>
      <w:pPr>
        <w:keepNext w:val="0"/>
        <w:keepLines w:val="0"/>
        <w:pageBreakBefore w:val="0"/>
        <w:widowControl w:val="0"/>
        <w:kinsoku/>
        <w:wordWrap/>
        <w:overflowPunct/>
        <w:topLinePunct w:val="0"/>
        <w:autoSpaceDE/>
        <w:autoSpaceDN/>
        <w:bidi w:val="0"/>
        <w:adjustRightInd/>
        <w:snapToGrid/>
        <w:spacing w:before="95" w:beforeLines="30" w:line="288" w:lineRule="auto"/>
        <w:ind w:firstLine="422" w:firstLineChars="200"/>
        <w:textAlignment w:val="auto"/>
        <w:outlineLvl w:val="9"/>
        <w:rPr>
          <w:rFonts w:hint="eastAsia" w:ascii="宋体" w:hAnsi="宋体" w:eastAsia="宋体" w:cs="宋体"/>
          <w:b/>
          <w:sz w:val="21"/>
          <w:szCs w:val="21"/>
        </w:rPr>
      </w:pPr>
      <w:r>
        <w:rPr>
          <w:rFonts w:hint="eastAsia" w:ascii="宋体" w:hAnsi="宋体" w:eastAsia="宋体" w:cs="宋体"/>
          <w:b/>
          <w:sz w:val="21"/>
          <w:szCs w:val="21"/>
        </w:rPr>
        <w:t>一、注意事项</w:t>
      </w:r>
    </w:p>
    <w:p>
      <w:pPr>
        <w:keepNext w:val="0"/>
        <w:keepLines w:val="0"/>
        <w:pageBreakBefore w:val="0"/>
        <w:widowControl w:val="0"/>
        <w:kinsoku/>
        <w:wordWrap/>
        <w:overflowPunct/>
        <w:topLinePunct w:val="0"/>
        <w:autoSpaceDE/>
        <w:autoSpaceDN/>
        <w:bidi w:val="0"/>
        <w:adjustRightInd/>
        <w:snapToGrid/>
        <w:spacing w:before="95" w:beforeLines="30" w:line="288" w:lineRule="auto"/>
        <w:ind w:firstLine="420" w:firstLineChars="200"/>
        <w:textAlignment w:val="auto"/>
        <w:outlineLvl w:val="9"/>
        <w:rPr>
          <w:rFonts w:hint="eastAsia" w:ascii="楷体" w:hAnsi="楷体" w:eastAsia="楷体" w:cs="楷体"/>
          <w:sz w:val="21"/>
          <w:szCs w:val="21"/>
        </w:rPr>
      </w:pPr>
      <w:r>
        <w:rPr>
          <w:rFonts w:hint="eastAsia" w:ascii="楷体" w:hAnsi="楷体" w:eastAsia="楷体" w:cs="楷体"/>
          <w:sz w:val="21"/>
          <w:szCs w:val="21"/>
        </w:rPr>
        <w:t>1．本题本由给定资料和作答要求两部分构成。考试时限为180分钟。其中，阅读给定资料参考时限为50分钟，作答参考时限为130分钟。满分为100分。</w:t>
      </w:r>
    </w:p>
    <w:p>
      <w:pPr>
        <w:keepNext w:val="0"/>
        <w:keepLines w:val="0"/>
        <w:pageBreakBefore w:val="0"/>
        <w:widowControl w:val="0"/>
        <w:kinsoku/>
        <w:wordWrap/>
        <w:overflowPunct/>
        <w:topLinePunct w:val="0"/>
        <w:autoSpaceDE/>
        <w:autoSpaceDN/>
        <w:bidi w:val="0"/>
        <w:adjustRightInd/>
        <w:snapToGrid/>
        <w:spacing w:before="95" w:beforeLines="30" w:line="288" w:lineRule="auto"/>
        <w:ind w:firstLine="420" w:firstLineChars="200"/>
        <w:textAlignment w:val="auto"/>
        <w:outlineLvl w:val="9"/>
        <w:rPr>
          <w:rFonts w:hint="eastAsia" w:ascii="楷体" w:hAnsi="楷体" w:eastAsia="楷体" w:cs="楷体"/>
          <w:sz w:val="21"/>
          <w:szCs w:val="21"/>
        </w:rPr>
      </w:pPr>
      <w:r>
        <w:rPr>
          <w:rFonts w:hint="eastAsia" w:ascii="楷体" w:hAnsi="楷体" w:eastAsia="楷体" w:cs="楷体"/>
          <w:sz w:val="21"/>
          <w:szCs w:val="21"/>
        </w:rPr>
        <w:t>2．请用黑色字迹的钢笔或签字笔在题本、答题卡指定位置上填写自己的姓名、准考证号，并用2B铅笔在答题卡上填涂准考证号对应的数字栏。</w:t>
      </w:r>
    </w:p>
    <w:p>
      <w:pPr>
        <w:keepNext w:val="0"/>
        <w:keepLines w:val="0"/>
        <w:pageBreakBefore w:val="0"/>
        <w:widowControl w:val="0"/>
        <w:kinsoku/>
        <w:wordWrap/>
        <w:overflowPunct/>
        <w:topLinePunct w:val="0"/>
        <w:autoSpaceDE/>
        <w:autoSpaceDN/>
        <w:bidi w:val="0"/>
        <w:adjustRightInd/>
        <w:snapToGrid/>
        <w:spacing w:before="95" w:beforeLines="30" w:line="288" w:lineRule="auto"/>
        <w:ind w:firstLine="420" w:firstLineChars="200"/>
        <w:textAlignment w:val="auto"/>
        <w:outlineLvl w:val="9"/>
        <w:rPr>
          <w:rFonts w:hint="eastAsia" w:ascii="楷体" w:hAnsi="楷体" w:eastAsia="楷体" w:cs="楷体"/>
          <w:sz w:val="21"/>
          <w:szCs w:val="21"/>
        </w:rPr>
      </w:pPr>
      <w:r>
        <w:rPr>
          <w:rFonts w:hint="eastAsia" w:ascii="楷体" w:hAnsi="楷体" w:eastAsia="楷体" w:cs="楷体"/>
          <w:sz w:val="21"/>
          <w:szCs w:val="21"/>
        </w:rPr>
        <w:t>3．请用黑色字迹的钢笔或签字笔在答题卡指定区域内作答，超出答题区域的作答无效！</w:t>
      </w:r>
    </w:p>
    <w:p>
      <w:pPr>
        <w:keepNext w:val="0"/>
        <w:keepLines w:val="0"/>
        <w:pageBreakBefore w:val="0"/>
        <w:widowControl w:val="0"/>
        <w:kinsoku/>
        <w:wordWrap/>
        <w:overflowPunct/>
        <w:topLinePunct w:val="0"/>
        <w:autoSpaceDE/>
        <w:autoSpaceDN/>
        <w:bidi w:val="0"/>
        <w:adjustRightInd/>
        <w:snapToGrid/>
        <w:spacing w:before="95" w:beforeLines="30" w:line="288" w:lineRule="auto"/>
        <w:ind w:firstLine="420" w:firstLineChars="200"/>
        <w:textAlignment w:val="auto"/>
        <w:outlineLvl w:val="9"/>
        <w:rPr>
          <w:rFonts w:hint="eastAsia" w:ascii="楷体" w:hAnsi="楷体" w:eastAsia="楷体" w:cs="楷体"/>
          <w:sz w:val="21"/>
          <w:szCs w:val="21"/>
        </w:rPr>
      </w:pPr>
      <w:r>
        <w:rPr>
          <w:rFonts w:hint="eastAsia" w:ascii="楷体" w:hAnsi="楷体" w:eastAsia="楷体" w:cs="楷体"/>
          <w:sz w:val="21"/>
          <w:szCs w:val="21"/>
        </w:rPr>
        <w:t>4．待监考人员宣布考试开始后，你才可以开始答题。</w:t>
      </w:r>
    </w:p>
    <w:p>
      <w:pPr>
        <w:keepNext w:val="0"/>
        <w:keepLines w:val="0"/>
        <w:pageBreakBefore w:val="0"/>
        <w:widowControl w:val="0"/>
        <w:kinsoku/>
        <w:wordWrap/>
        <w:overflowPunct/>
        <w:topLinePunct w:val="0"/>
        <w:autoSpaceDE/>
        <w:autoSpaceDN/>
        <w:bidi w:val="0"/>
        <w:adjustRightInd/>
        <w:snapToGrid/>
        <w:spacing w:before="95" w:beforeLines="30" w:line="288" w:lineRule="auto"/>
        <w:ind w:firstLine="420" w:firstLineChars="200"/>
        <w:textAlignment w:val="auto"/>
        <w:outlineLvl w:val="9"/>
        <w:rPr>
          <w:rFonts w:hint="eastAsia" w:ascii="楷体" w:hAnsi="楷体" w:eastAsia="楷体" w:cs="楷体"/>
          <w:sz w:val="21"/>
          <w:szCs w:val="21"/>
        </w:rPr>
      </w:pPr>
      <w:r>
        <w:rPr>
          <w:rFonts w:hint="eastAsia" w:ascii="楷体" w:hAnsi="楷体" w:eastAsia="楷体" w:cs="楷体"/>
          <w:sz w:val="21"/>
          <w:szCs w:val="21"/>
        </w:rPr>
        <w:t>5．所有题目一律使用现代汉语作答，未按要求作答的，不得分。</w:t>
      </w:r>
    </w:p>
    <w:p>
      <w:pPr>
        <w:keepNext w:val="0"/>
        <w:keepLines w:val="0"/>
        <w:pageBreakBefore w:val="0"/>
        <w:widowControl w:val="0"/>
        <w:kinsoku/>
        <w:wordWrap/>
        <w:overflowPunct/>
        <w:topLinePunct w:val="0"/>
        <w:autoSpaceDE/>
        <w:autoSpaceDN/>
        <w:bidi w:val="0"/>
        <w:adjustRightInd/>
        <w:snapToGrid/>
        <w:spacing w:before="95" w:beforeLines="30" w:line="288" w:lineRule="auto"/>
        <w:ind w:firstLine="420" w:firstLineChars="200"/>
        <w:textAlignment w:val="auto"/>
        <w:outlineLvl w:val="9"/>
        <w:rPr>
          <w:rFonts w:hint="eastAsia" w:ascii="楷体" w:hAnsi="楷体" w:eastAsia="楷体" w:cs="楷体"/>
          <w:sz w:val="21"/>
          <w:szCs w:val="21"/>
        </w:rPr>
      </w:pPr>
      <w:r>
        <w:rPr>
          <w:rFonts w:hint="eastAsia" w:ascii="楷体" w:hAnsi="楷体" w:eastAsia="楷体" w:cs="楷体"/>
          <w:sz w:val="21"/>
          <w:szCs w:val="21"/>
        </w:rPr>
        <w:t>6．当监考人员宣布考试结束时，考生应立即停止作答，并将题本、答题卡和草稿纸都翻过来放在桌上。待监考人员确认数量无误、允许离开后，方可离开。</w:t>
      </w:r>
    </w:p>
    <w:p>
      <w:pPr>
        <w:keepNext w:val="0"/>
        <w:keepLines w:val="0"/>
        <w:pageBreakBefore w:val="0"/>
        <w:widowControl w:val="0"/>
        <w:kinsoku/>
        <w:wordWrap/>
        <w:overflowPunct/>
        <w:topLinePunct w:val="0"/>
        <w:autoSpaceDE/>
        <w:autoSpaceDN/>
        <w:bidi w:val="0"/>
        <w:adjustRightInd/>
        <w:snapToGrid/>
        <w:spacing w:before="95" w:beforeLines="30" w:line="288" w:lineRule="auto"/>
        <w:ind w:firstLine="420" w:firstLineChars="200"/>
        <w:jc w:val="center"/>
        <w:textAlignment w:val="auto"/>
        <w:outlineLvl w:val="9"/>
        <w:rPr>
          <w:rFonts w:hint="eastAsia" w:ascii="楷体" w:hAnsi="楷体" w:eastAsia="楷体" w:cs="楷体"/>
          <w:sz w:val="21"/>
          <w:szCs w:val="21"/>
        </w:rPr>
      </w:pPr>
      <w:r>
        <w:rPr>
          <w:rFonts w:hint="eastAsia" w:ascii="楷体" w:hAnsi="楷体" w:eastAsia="楷体" w:cs="楷体"/>
          <w:sz w:val="21"/>
          <w:szCs w:val="21"/>
        </w:rPr>
        <w:t>严禁折叠答题卡！</w:t>
      </w:r>
    </w:p>
    <w:p>
      <w:pPr>
        <w:keepNext w:val="0"/>
        <w:keepLines w:val="0"/>
        <w:pageBreakBefore w:val="0"/>
        <w:widowControl w:val="0"/>
        <w:kinsoku/>
        <w:wordWrap/>
        <w:overflowPunct/>
        <w:topLinePunct w:val="0"/>
        <w:bidi w:val="0"/>
        <w:snapToGrid/>
        <w:spacing w:before="95" w:beforeLines="30" w:line="288" w:lineRule="auto"/>
        <w:ind w:firstLine="422" w:firstLineChars="200"/>
        <w:textAlignment w:val="auto"/>
        <w:rPr>
          <w:rFonts w:hint="eastAsia" w:ascii="宋体" w:hAnsi="宋体" w:eastAsia="宋体" w:cs="宋体"/>
          <w:sz w:val="21"/>
          <w:szCs w:val="21"/>
        </w:rPr>
      </w:pPr>
      <w:r>
        <w:rPr>
          <w:rStyle w:val="11"/>
          <w:rFonts w:hint="eastAsia" w:ascii="宋体" w:hAnsi="宋体" w:eastAsia="宋体" w:cs="宋体"/>
          <w:color w:val="000000"/>
          <w:sz w:val="21"/>
          <w:szCs w:val="21"/>
        </w:rPr>
        <w:t>一、给定资料</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color w:val="000000"/>
          <w:sz w:val="21"/>
          <w:szCs w:val="21"/>
          <w:lang w:eastAsia="zh-CN"/>
        </w:rPr>
      </w:pPr>
      <w:r>
        <w:rPr>
          <w:rFonts w:hint="eastAsia" w:ascii="宋体" w:hAnsi="宋体" w:eastAsia="宋体" w:cs="宋体"/>
          <w:b/>
          <w:color w:val="000000"/>
          <w:sz w:val="21"/>
          <w:szCs w:val="21"/>
          <w:lang w:eastAsia="zh-CN"/>
        </w:rPr>
        <w:t>材料一</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以下是某地报纸“读者来信”专栏刊登的有关Y县乡镇招商引资工作的三封来信的内容摘要——</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A镇张某：乡村振兴，需要吸引外来的人才、资本、技术“加盟”，为农村发展注入强劲动力。但有的招商引资脱离实际、贪大求洋，导致项目长期落不了地，产生不了实际效益，成为“空头招商”。</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我们镇遇上稍有投资意向的企业，便承诺送地、免税、贷款，包办工商、环保、用地等各种手续。可是，真正签订了投资协议，许多手续牵涉到法律规定、部门管理职能等问题，承诺最终要么成了空头支票，要么只能违法强行让企业上马。</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为了完成招商引资任务，对投资方不加甄别，往往被皮包公司、诈骗集团利用。前不久，就出现了引进的企业非法融资后跑路，造成群众上访事件，损失巨大。</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年前，我们镇与华南的一家投资公司洽谈，合作开发一个乡村旅游项目。签订合作框架协议后，投资方承诺将在3年内投资数千万元。镇政府和村“两委”很重视，抓紧做好土地流转、基础设施建设等工作。可是接下来的几年，投资方却毫无动静，没有投资一分钱，这个项目成了“半拉子工程”。前期投入的数百万元，只能全部由镇里承担。类似的情况还有不少，比如喜欢招大商，为了引进大项目，舍得投入，先后征用土地数千亩，可由于区位无优势、缺乏竞争力等原因，往往项目“泡了汤”，导致土地长时间撂荒，让农民空欢喜一场。</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B乡武某：近几年，沿海发达地区在环境整治过程中，淘汰了一批污染严重的企业。对这些企业，内地一些地方像捡到宝一样，纷纷伸出橄榄枝。通过降低门槛、提供优惠政策，一个个被沿海地区淘汰的污染企业又在经济不发达的农村冒了出来，最终遭罪的是老百姓。</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我乡从某沿海城市招商引资进来的一家水暖器材厂，即是一个典型例子。这家所谓水暖器材厂，其实是把招商地的水龙头、淋浴器等半成品，拉运到这里进行镀锌加工，整个车间都弥漫着有毒的雾气。由于该厂采取的是“计件工资”制度，老百姓又缺乏健康知识，为了图省事、多挣钱，不要说戴防毒面具，有的甚至连口罩都不戴。经群众多次举报和强烈要求后，引起上级相关部门的重视，责成乡里关闭了这家害民的工厂。</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镇应某：我们镇有两个偏远山村同时搞招商引资。一个村招来了石英矿开发项目，投资方财大气粗，不到两个月村子里就车来车往，后山上炮声隆隆，好多村民当上了矿工，一时间挣了些钱。另一个村，一位退伍军人兴办养羊场，一开始经营不是很顺利，第一年投资买了500只羊，当年并没有给当地带来立竿见影的致富效应。</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然而3年过后，光景却大不相同。石英矿采完了，投资方撤走了，留下满目疮痍的后山和被重型车辆压坏的水泥路，让村里收拾“烂摊子”。而养羊场在退伍军人精心打理和镇、村的帮助下，规模发展到了4000多只，不仅在村里聘用了20多个村民当“羊倌”，而且帮群众在坡地种上苜蓿，每年按市场价收购苜蓿作青贮饲料，还探索出了入股分红、托养代管、借种收草等多种经营模式，引导该村及周边群众参与到养羊产业中来，带动了乡亲们增收。</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color w:val="000000"/>
          <w:sz w:val="21"/>
          <w:szCs w:val="21"/>
          <w:lang w:eastAsia="zh-CN"/>
        </w:rPr>
      </w:pPr>
      <w:r>
        <w:rPr>
          <w:rFonts w:hint="eastAsia" w:ascii="宋体" w:hAnsi="宋体" w:eastAsia="宋体" w:cs="宋体"/>
          <w:b/>
          <w:color w:val="000000"/>
          <w:sz w:val="21"/>
          <w:szCs w:val="21"/>
          <w:lang w:eastAsia="zh-CN"/>
        </w:rPr>
        <w:t>材料二</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茉莉花香扑鼻而来，村屯道路干净整洁，一派山水田园风光——这是H县石井村的新景象。</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这风光来之不易呀。”村书记老李感叹。村头屯尾越来越多的垃圾，曾让他头疼不已。“乡亲们腰包鼓起来了，消费向城里看齐，垃圾也与城里‘接轨’，包装袋、农药瓶、农膜、塑料袋等‘难消化’的垃圾越来越多。”老李说，“不讲究的，随意丢在房前屋后；讲究些的，扔到村里偏僻的角落。”依山傍水的清秀小村，被垃圾搞得邋里邋遢。蚊蝇满天飞、污水遍地流，石井村一度被县里通报批评。</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省里启动“美丽乡村”建设活动，以此为契机，H县垃圾分类开始从城区走向农村。</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石井村借鉴县城垃圾分类的经验，实行“乡村版”垃圾分类法：厨余类湿垃圾投入沼气池；可燃类垃圾，由村里统一集中焚烧；可回收类垃圾由保洁员分拣为废品变卖；有毒有害类垃圾，则集中送至垃圾处理中心处理。</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乡村垃圾分类，H县打的是有准备之仗。县委牵头成立“高规格”项目实验小组，谋篇布局，制定出工作路线图，有计划、有步骤地推开，不管县委县政府领导班子如何变，对垃圾分类工作的人、财、物支持始终如一。</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随后的实施当中，居民分类投放、环卫分类收集、车辆分类运输、终端分类处理，环环相扣、无缝衔接，确保了常态化、制度化。工作中讲求策略，既有“大棒”，也有“胡萝卜”。分不好的，居委会大妈、村干部、分类督查员轮番上阵教；屡教不分的，拒收垃圾；乱丢乱倒的，电视曝光，依规重罚；分得好的，每月会得到洗衣粉、肥皂、牙膏等小奖励。</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村民每人每年缴纳36元的垃圾费，用于村里聘请保洁员、垃圾清运员、焚烧员等。村里聘请的垃圾清运员，每天负责清运全村14个自然屯的生活垃圾，月薪达6000元。</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包括民众环保意识启蒙在内的宣传教育培训及时跟进，座谈、宣讲、会演，乡镇、街道、村落一处不落，为“垃圾分类——举手之劳，保护环境”理念造势。“H县所有学校都有垃圾分类制度，并将其与学生的操行分挂钩。同时，还鼓励各学科老师在课堂‘借题发挥’，引导孩子养成垃圾分类的好习惯。”县教育局李副局长说，“全县中小学生15万人，把他们引导好，影响带动的至少是15万个家庭。”</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从老人到小孩，如今都能遵守分类“规矩”。原先收垃圾要花三四个小时，现在可以直接拉走，一二个小时就能处理完毕。</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H县在垃圾分类上取得的成功，已成为该县一张新名片，国内不少城市前来考察取经。国际组织的专家考评组实地考察后，也称赞H县为“中国小城市村居垃圾回收利用和环境保护的典范”。</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color w:val="000000"/>
          <w:sz w:val="21"/>
          <w:szCs w:val="21"/>
          <w:lang w:eastAsia="zh-CN"/>
        </w:rPr>
      </w:pPr>
      <w:r>
        <w:rPr>
          <w:rFonts w:hint="eastAsia" w:ascii="宋体" w:hAnsi="宋体" w:eastAsia="宋体" w:cs="宋体"/>
          <w:b/>
          <w:color w:val="000000"/>
          <w:sz w:val="21"/>
          <w:szCs w:val="21"/>
          <w:lang w:eastAsia="zh-CN"/>
        </w:rPr>
        <w:t>材料三</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近期，某电视台制作了一期以“实施乡村振兴战略，加快推进农村现代化”为主题的访谈节目，受邀参加讨论的是种粮大户老郑、基层干部郭书记和“三农”专家叶教授三位嘉宾。嘉宾就加快推进农业农村现代化，实现乡村振兴，从不同侧面，围绕三个问题，谈了自己的观察和思考。</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对第一个问题的讨论：</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老郑：现在种地，不换个种法不行。对普通农户来说，每亩地的毛收入也就1500元上下，但农资、机械等各项成本就超过1300元。大户收益靠规模，但风险也更高。今年我们市遭遇的旱灾比往年严重得多，对稻米产量影响不小。另外，现在我们市稻米价格每斤1.6元上下，比其他地方好些，但与去年相比，还是降了1角多。农民种粮，要面对自然和市场双重风险，真希望政策能给我们撑起更强的保护伞。</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郭书记：我们县是农业大县。作为基层干部，我经常与农民打交道，深知一亩三分地对农民的重要性。农业农村农民问题是“饭碗”问题，是发展问题，更是民生问题。尽管今年我们县遭受了自然灾害，但在全县干部群众努力下，小麦总产量还是达到34.73万吨，略高于去年水平。</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叶教授：总体来说，当前农业结构调整有序推进，农业绿色发展大步迈进，农村改革稳步推进，农业农村发展取得了历史性成就。这得益于新世纪以来，中央强调要把解决好“三农”问题作为全党工作的重中之重，先后提出了多予少取放活、统筹城乡发展、城乡发展一体化等重大方针，先后采取了取消农业税、实行农业直接补贴、加强农村基础设施建设、建立农村社会保障体系等重大举措。</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对第二个问题的讨论：</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叶教授：实现农业农村优先发展，必须要把“重中之重”落到实处。抓“三农”，对做大地方GDP，增加地方财政收入难有明显贡献，导致一些地方不愿意把精力放在“三农”工作上，不愿意把稀缺资源投向农业农村。比如，我们在基层调研时经常发现，尽管农产品储藏、加工项目有利于带动当地农业发展和农民增收，但由于产生的固定资产投资、地区生产总值、税收有限，一些地方不愿意为这类项目安排新增建设用地指标，一些产业园区不愿意引进这类项目。</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改变这种状况，关键在于转变政绩观。衡量一个地方工作的好坏，要看工业，更要看农业；要看城市，更要看农村；要看经济总量，更要看民生改善。要坚持农业农村优先发展，在领导决策拍板、财政资金分配、重大项目安排时真正做到向农业农村倾斜。</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老郑：这些年合作社日子好过，得益于党的政策好。拿农机来说，国家给补贴，我们合作社里有51台“大铁牛”，今年秋收，接了周边区县不少收割的活儿，没闲着。再说科技，我们种有机水稻，每个生产流程都要技术，没有农技部门专家常年在田间指导，肯定干不成。</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这几年种地规模越来越大，对硬件条件的要求也越来越高。地多了得用大型农机，但我们这里丘陵多，还有不少泥土路，过去大农机根本进不去，多亏县里修了不少“农机路”。我们发展生态农业，要安装杀虫灯，原来山里不通电，相关部门了解情况后，帮我们解决了用电难题。农田水利设施也逐渐完善。种地条件越来越好，就是给我们吃了“定心丸”。</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郭书记：上面千条线，下面一根针，基层干部就是穿针引线的人，要把党对“三农”的重视切实传递到田间地头。虽说粮食连年丰收，农民生活越来越好，但“三农”问题历史欠账多。就我们县而言，农业基础设施的短板还要补，农业规模化经营水平不高，农业的结构性矛盾还未完全破解。</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对第三个问题的讨论：</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老郑：这些年，村里道路越来越宽，房子越盖越好，娱乐活动越来越多。但也不能说完全没有愁事儿，有的村里还没垃圾桶、垃圾站，满地垃圾影响村容村貌。有些偏远的地方，没有路灯，晚上村民不敢出门。现在，不少村里的年轻人都外出打工，大家都关心以后谁来种地，留在村里的老人娃娃谁管。</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郭书记：补齐“三农”发展短板，增强农业农村活力，关键要促进资源要素在城乡间流动。我们县积极引进资本，吸引农民工、高校毕业生返乡创业。大力发展乡村旅游、创意农业，实现“科技+”“教育+”“健康+”等新业态，促进一二三产业融合，提升农业的附加值。</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叶教授：实现国家现代化，必须补“三农”这个短板。实现农业农村现代化，也不能平均发力，而应抓重点、补短板、强弱项。从目前“三农”领域情况看，这几年全国脱贫攻坚取得明显成效，农村贫困人口快速减少。下一步除继续做好剩余贫困人口的脱贫攻坚外，还应注重提高脱贫质量、夯实长久脱贫的基础。贫困人口观念改变、能力提高，贫困地区基础设施和营商环境的改善取得实质性进展，这才是高质量的脱贫。</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经过多年努力，农村公共服务体系实现了从“无”到“有”的历史性转变。目前主要问题在于公共服务领域的城乡差距仍然太大，农村公共服务的保障水平太低。应把从“有”到“好”作为主攻方向，继续推动城乡义务教育一体化发展，完善城乡居民基本养老保险制度，完善统一的城乡居民基本医疗保险制度和大病保险制度，统筹城乡社会救助体系。</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随着大量农村人口转移进城，部分地方出现了“空心屋”“空心村”，这是现代化进程中的必然现象，也是正常现象。我们要做的，是为乡村聚人气、添活力。要以县域为单元，规划好村镇体系，把传统民居和古村落保护好，把今后将长期存在下去的村庄建设好。</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主持人：结束语（略）</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color w:val="000000"/>
          <w:sz w:val="21"/>
          <w:szCs w:val="21"/>
          <w:lang w:eastAsia="zh-CN"/>
        </w:rPr>
      </w:pPr>
      <w:r>
        <w:rPr>
          <w:rFonts w:hint="eastAsia" w:ascii="宋体" w:hAnsi="宋体" w:eastAsia="宋体" w:cs="宋体"/>
          <w:b/>
          <w:color w:val="000000"/>
          <w:sz w:val="21"/>
          <w:szCs w:val="21"/>
          <w:lang w:eastAsia="zh-CN"/>
        </w:rPr>
        <w:t>材料四</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在Z市农村，一般管厕所叫“栏”或“圈”，数尺见方，放块木板或者水泥板就成了方便之处。农民家里养猪，厕所还与猪圈相连，污物直接排入猪圈，也就是连茅圈。夏天如厕，蝇蚊乱飞，令人十分难受；冬天如厕，寒风刺骨，让人瑟瑟发抖。上个厕所浑身味儿，晚上还得带手电。</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北坪村党支部石书记在这个位子上已经干了10年。这些年，村里为村民做了许多好事，石书记却年年为一件事发愁。北坪村隶属于仙台镇，有125户人家，村民们大部分以务农为生，庄稼离不开农家肥。村里多是连茅圈，攒土肥，不仅味儿大、占地方，还没有防渗措施，可能污染地下水。</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石书记愁了10年，仙台镇西单村的孙大娘却愁了两个10年。20多年前，孙大娘的儿子娶了城里的漂亮媳妇，村里人都羡慕她。一开始，孙大娘挺乐呵，可往后每次过年她心里就堵。原来，儿媳妇不习惯连茅圈，每年回来过年，儿子一家吃完午饭就往城里赶。小孙女童言无忌，直言奶奶家不如城里的外婆家楼房干净。孙大娘无奈感慨，卫生环境不好，留不住年轻人。</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“农村土茅房、旱厕和连茅圈，污染空气和地下水，还成为蚊蝇孳生地、病菌传播源。据统计，80%以上的传染病是由厕所污染和饮水不卫生引起的。”Z市农工办调研科汪科长说。</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从2014年10月开始，Z市将农村厕所改造列为美丽乡村建设的重要项目，这可解了石书记和孙大娘多年的愁。</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可是厕所虽小，改造却是大工程，牵扯到方方面面。</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钱从哪里来，每家每户出多少？这是农民群众非常关心的问题。Z市专门出台农村改厕专项资金管理办法，村民改建一个旱厕可享受省、市、县三级补贴，各镇、村根据财力状况也制定了相应的扶持奖励政策。“改造一间水冲厕所，基本不用农民群众自己花钱。”汪科长说。</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村民小钱在翻新房子时，趁着政府包改厕，给厕所来了个升级换代。他给厕所地面和内墙贴了瓷砖，装配了淋浴设施，放上了洗衣机，加装了暖气片。他兴奋地说：“既干净又整洁，跟城里的一个样。”</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村里所有改好的厕所外面，都竖着一根白管，用于排放化粪池发酵产生的沼气，以防爆炸着火等意外发生。</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为保证改造效果，Z市严把改厕入口关，采取“统一招标耗材、统一施工队伍、统一施工规范、统一检查验收”的方式，从物料准备、厕所改造、便器安装等方面实行全程服务。改厕后，每家每户都有编号，这些农户和对应的编号都会记录在册并上网，为以后清淘、修理打下“大数据”基础。</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改厕要因地制宜，我们几乎把全国的改厕模式、厕具都拿来研究了一遍，最后选择了几种符合Z市农村实际的。”汪科长坦言，“具体到每个村的情况还不一样，村里就召集村民开大会，商量村里具体采用哪种方式。”</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在双林镇辛庄村，每五户就有一个小型生物一体化处理设备。粪便污水经过化粪池沉淀过滤，通过管道流入这个设备。经过处理后，排放出来的水可以作为绿化用水。</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我们这里的农村，厕所大部分都在室外，冬天易结冰，便盆到化粪池的管道就得取直，防止结冰。”汪科长说，“但是取直后容易反味，所以就在管道中间加了一个皮阀，冲水的时候随水流冲击力方向打开，水流完就自动关闭。”</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化粪池总有满的时候，大约多久淘一次呢？西江镇负责改厕的任副镇长作了介绍，“配置1.5立方米大小的三格化粪池，差不多一年到一年半淘一次。三格化粪池，三格由连通管相连，第一格起到截留粪渣、沉淀虫卵和使粪液分层的作用，第二格继续发酵，经第三格贮存发酵后，病菌和寄生虫卵基本被杀灭。”</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在任副镇长看来，农村改厕向洁净乡村建设迈出了一大步，但更重要的是像淘粪这样的后续管护该怎样运营。</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为了建立农村无害化卫生厕所后续管护长效机制，Z市建立了“有场所、有牌子、有车辆、有人员、有电话、有制度、有经费、有配件专柜、有活动记录、有粪液利用”的改厕管护服务组织，并坚持市场化、社会化运作，因地制宜选择管护模式，对改造后的厕所进行统一管理，定期统一收集、统一运输、统一无害化处理和资源化利用。</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在后续管理资金保障方面，Z市按照政府补助引导、集体和社会资助、群众自筹相结合的原则，探索多方筹集机制。对长效管护运作较好的地方，安排专项资金给予适当奖补。对改厕后续管护组织的设备购置，各级财政给予适当补助。市级财政还出资在49个乡镇建立农厕管护服务组织。各区县都建立了适合当地实际情况的管护组织。</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为防止粪液粪渣随意倾倒造成二次环境污染，更好地开展资源化利用，Z市鼓励依托合作社或家庭农场注册成立清运公司进行改厕管护清运服务。“我们村子也成立了清运公司。”北坪村的石书记说，“村里正在发展好几百亩的有机农业生态园，这粪液粪渣正好当作有机肥。”</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改厕后，村子里不见粪水，蚊蝇少了，各家各户也干净了不少。不过，村民长期形成的如厕习惯也不是一时半会儿能改掉的。一些旱厕虽改成水冲式厕所，但一些村民如厕后忘记冲水，有的随手乱扔厕纸，有的不能定期洗刷等。为此，Z市利用广播、电视、报刊、标语等多种形式，促进用上干净厕所的农民养成讲卫生的好习惯。</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截至2017年10月底，Z市2500个应改村的37万农户，全部完成改厕任务并顺利通过省级验收，比上级的要求提前一年半整建制实现农村无害化卫生厕所全覆盖。</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color w:val="000000"/>
          <w:sz w:val="21"/>
          <w:szCs w:val="21"/>
        </w:rPr>
      </w:pPr>
      <w:r>
        <w:rPr>
          <w:rStyle w:val="11"/>
          <w:rFonts w:hint="eastAsia" w:ascii="宋体" w:hAnsi="宋体" w:eastAsia="宋体" w:cs="宋体"/>
          <w:color w:val="000000"/>
          <w:sz w:val="21"/>
          <w:szCs w:val="21"/>
        </w:rPr>
        <w:t>二、作答要求</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问题一：请根据【给定资料1】，概括Y县在乡镇招商引资工作中存在的一些问题。</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要求：(1)全面准确;(2)分条概括;(3)200字以内。（15分）</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问题二：【给定资料2】介绍了H县实施乡村垃圾分类工作的一些做法，请从中归纳几个方面的经验。</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要求：(1)准确全面;(2)分条列出;(3)简洁明了，不超过200字。（20分）</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问题三：【给定资料3】共讨论了涉及推进农村现代化，实现乡村振兴的三个方面问题，每个问题的聚焦点不同，访谈结束时，主持人作了简要的总结，请为主持人撰写访谈的结束语。</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要求(1)写成一篇450字左右的短文（不加标题）;(2)内容全面，主体部分须涵盖各个问题的聚焦点;(3)条理清楚，简明扼要。（30分）</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2" w:firstLineChars="200"/>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问题四：【给定资料4】介绍了Z市农村改厕的情况。相邻的F市近期也准备启动农村改厕工程，假设你是F市有关部门工作人员，请借鉴Z市的做法，拟写本市改厕工程的工作方案。</w:t>
      </w:r>
    </w:p>
    <w:p>
      <w:pPr>
        <w:pStyle w:val="8"/>
        <w:keepNext w:val="0"/>
        <w:keepLines w:val="0"/>
        <w:pageBreakBefore w:val="0"/>
        <w:widowControl w:val="0"/>
        <w:shd w:val="clear" w:color="auto" w:fill="FFFFFF"/>
        <w:kinsoku/>
        <w:wordWrap/>
        <w:overflowPunct/>
        <w:topLinePunct w:val="0"/>
        <w:bidi w:val="0"/>
        <w:snapToGrid/>
        <w:spacing w:before="95" w:beforeLines="30" w:beforeAutospacing="0" w:after="0" w:afterAutospacing="0" w:line="288"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要求：(1)内容充实，可操作性强;(2)思路清晰，结构完整;(3)语言简洁顺畅;(4)篇幅700—800字。（35分）</w:t>
      </w:r>
    </w:p>
    <w:p>
      <w:pPr>
        <w:pStyle w:val="4"/>
        <w:keepNext w:val="0"/>
        <w:keepLines w:val="0"/>
        <w:pageBreakBefore w:val="0"/>
        <w:widowControl w:val="0"/>
        <w:suppressLineNumbers w:val="0"/>
        <w:shd w:val="clear" w:fill="FFFFFF"/>
        <w:kinsoku/>
        <w:wordWrap/>
        <w:overflowPunct/>
        <w:topLinePunct w:val="0"/>
        <w:bidi w:val="0"/>
        <w:snapToGrid/>
        <w:spacing w:before="95" w:beforeLines="30" w:beforeAutospacing="0" w:after="0" w:afterAutospacing="0" w:line="288" w:lineRule="auto"/>
        <w:ind w:left="0" w:firstLine="422" w:firstLineChars="200"/>
        <w:jc w:val="center"/>
        <w:textAlignment w:val="auto"/>
        <w:rPr>
          <w:rFonts w:hint="eastAsia" w:ascii="宋体" w:hAnsi="宋体" w:eastAsia="宋体" w:cs="宋体"/>
          <w:b/>
          <w:bCs/>
          <w:color w:val="000000"/>
          <w:sz w:val="28"/>
          <w:szCs w:val="28"/>
          <w:shd w:val="clear" w:color="auto" w:fill="FFFFFF"/>
        </w:rPr>
      </w:pPr>
      <w:r>
        <w:rPr>
          <w:rFonts w:hint="eastAsia" w:ascii="宋体" w:hAnsi="宋体" w:eastAsia="宋体" w:cs="宋体"/>
          <w:color w:val="000000"/>
          <w:sz w:val="21"/>
          <w:szCs w:val="21"/>
        </w:rPr>
        <w:br w:type="page"/>
      </w:r>
      <w:r>
        <w:rPr>
          <w:rFonts w:hint="eastAsia" w:ascii="宋体" w:hAnsi="宋体" w:eastAsia="宋体" w:cs="宋体"/>
          <w:i w:val="0"/>
          <w:caps w:val="0"/>
          <w:color w:val="333333"/>
          <w:spacing w:val="0"/>
          <w:sz w:val="28"/>
          <w:szCs w:val="28"/>
          <w:shd w:val="clear" w:fill="FFFFFF"/>
        </w:rPr>
        <w:t>2018年公务员多省联考《申论》真题（安徽B卷）</w:t>
      </w:r>
      <w:r>
        <w:rPr>
          <w:rFonts w:hint="eastAsia" w:ascii="宋体" w:hAnsi="宋体" w:eastAsia="宋体" w:cs="宋体"/>
          <w:b/>
          <w:bCs/>
          <w:color w:val="000000"/>
          <w:sz w:val="28"/>
          <w:szCs w:val="28"/>
          <w:shd w:val="clear" w:color="auto" w:fill="FFFFFF"/>
        </w:rPr>
        <w:t>参考答案</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2" w:firstLineChars="200"/>
        <w:jc w:val="left"/>
        <w:textAlignment w:val="auto"/>
        <w:rPr>
          <w:rFonts w:hint="eastAsia" w:ascii="宋体" w:hAnsi="宋体" w:eastAsia="宋体" w:cs="宋体"/>
          <w:b/>
          <w:bCs/>
          <w:color w:val="000000"/>
          <w:kern w:val="0"/>
          <w:sz w:val="21"/>
          <w:szCs w:val="21"/>
        </w:rPr>
      </w:pP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2" w:firstLineChars="200"/>
        <w:jc w:val="left"/>
        <w:textAlignment w:val="auto"/>
        <w:rPr>
          <w:rFonts w:hint="eastAsia" w:ascii="宋体" w:hAnsi="宋体" w:eastAsia="宋体" w:cs="宋体"/>
          <w:b/>
          <w:bCs/>
          <w:color w:val="000000"/>
          <w:kern w:val="0"/>
          <w:sz w:val="21"/>
          <w:szCs w:val="21"/>
        </w:rPr>
      </w:pPr>
      <w:bookmarkStart w:id="0" w:name="_GoBack"/>
      <w:bookmarkEnd w:id="0"/>
      <w:r>
        <w:rPr>
          <w:rFonts w:hint="eastAsia" w:ascii="宋体" w:hAnsi="宋体" w:eastAsia="宋体" w:cs="宋体"/>
          <w:b/>
          <w:bCs/>
          <w:color w:val="000000"/>
          <w:kern w:val="0"/>
          <w:sz w:val="21"/>
          <w:szCs w:val="21"/>
        </w:rPr>
        <w:t>问题一参考答案：</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【审题及答题思路】</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请根据“给定资料1”【“根据”可知只需要在资料1 中找答案】概括Y 县在乡镇招商引资工作中存在的一些问题【本题为单一题中的问题要素类题，主题是Y 县的乡镇招商引资工作，去材料中找与主题相关的消极负面信息，标上序号罗列即可】。（15 分）</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要求：全面准确【要求要点全面，宁滥勿缺；尽量用原词原句，尊重材料愿意】；分条概述【要点标上序号，分条罗列即可】；200 字以内。</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i w:val="0"/>
          <w:caps w:val="0"/>
          <w:color w:val="333333"/>
          <w:spacing w:val="0"/>
          <w:sz w:val="21"/>
          <w:szCs w:val="21"/>
          <w:shd w:val="clear" w:fill="FFFFFF"/>
        </w:rPr>
        <w:t>【参考答案】</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1.脱离实际、贪大求洋，项目长期不落地，无实际效益，成为空头招商；</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2.招商门槛低，承诺无法兑现，项目违法上马；</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3.盲目招商，对投资方不加甄别，被不法企业利用；</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4.政府前期投入大，企业不投资，项目烂尾；</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5.招商理念重经济轻环境，引进污染企业；</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b w:val="0"/>
          <w:i w:val="0"/>
          <w:caps w:val="0"/>
          <w:color w:val="333333"/>
          <w:spacing w:val="0"/>
          <w:sz w:val="21"/>
          <w:szCs w:val="21"/>
          <w:shd w:val="clear" w:fill="FFFFFF"/>
        </w:rPr>
        <w:t>6.急功近利，忽略长远利益，发展不可持续。</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2" w:firstLineChars="200"/>
        <w:jc w:val="left"/>
        <w:textAlignment w:val="auto"/>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问题二参考答案：</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【审题及答题思路】</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【给定资料2】【只需要阅读资料2】介绍了H 县实施乡村垃圾分类工作的一些做法，请从中归纳出几个方面的经验【围绕“乡村垃圾分类”这一主题，寻找H 县具体做了哪些工作。“归纳……几个方面”提示我们对找到的具体工作要进行总结分类】。</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要要求：（1）准确全面【尽量摘抄材料的原词原句，原文比较零散、冗长的要进行适当概括；将H 县垃圾分类的具体做法全部提炼出来，尽量多写关键词】；（2）分条列出【要点要分条分点书写，标清序号】；（3）简洁明了【尽量用短语短句答题，少用长句子】，不超过200 字。]（20 分）</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i w:val="0"/>
          <w:caps w:val="0"/>
          <w:color w:val="333333"/>
          <w:spacing w:val="0"/>
          <w:sz w:val="21"/>
          <w:szCs w:val="21"/>
          <w:shd w:val="clear" w:fill="FFFFFF"/>
        </w:rPr>
        <w:t>【参考答案】</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b w:val="0"/>
          <w:i w:val="0"/>
          <w:caps w:val="0"/>
          <w:color w:val="333333"/>
          <w:spacing w:val="0"/>
          <w:sz w:val="21"/>
          <w:szCs w:val="21"/>
          <w:shd w:val="clear" w:fill="FFFFFF"/>
        </w:rPr>
        <w:t>1.明确分类方法。确定分类标准，针对性处理垃圾。2.充分准备。县委牵头成立项目实施小组，制定工作路线图，提供稳定的人、财、物支持。3.有序实施。分类处理环节无缝衔接，确保常态化、制度化；结合指导、惩罚、奖励等方式推进分类；要求村民缴纳垃圾费，用于聘请专职人员清理生活垃圾；4.加强宣传教育培训。宣传分类理念，学校建立垃圾分类制度，与学生操行分挂钩，利用课堂引导孩子形成垃圾分类的好习惯。</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2" w:firstLineChars="200"/>
        <w:jc w:val="left"/>
        <w:textAlignment w:val="auto"/>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问题三参考答案：</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【审题及答题思路】</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【给定资料3】共讨论了涉及推进农业农村现代化，实现乡村振兴的三个方面问题【资料3 讨论了涉及推进农业农村现代化，实现乡村振兴的三个方面问题，范围为材料3。】，每个问题的聚焦点不同。访谈结束时，主持人作了简要的总结。请为主持人撰写访谈的结束语。【围绕主题全面罗列三个方面的聚焦点的有关要素】。</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要要求：（1）写成一篇450 字左右的短文（不加标题）；【一篇短文，量词+文种，公文题。并且做简要总结所以是总结类公文题。明确要求不用写标题，所以标题不用写，并且是短文，所以称谓落款也不需要。】（2）内容全面，主体部分须涵盖各个问题的聚焦点；【要求要点全面，宁滥勿缺；围绕着聚焦点展开】（3）条理清楚，简明扼要。【分条陈述，标上序号；表述精炼，简洁，突出关键词】（30 分）</w:t>
      </w:r>
    </w:p>
    <w:p>
      <w:pPr>
        <w:pStyle w:val="8"/>
        <w:keepNext w:val="0"/>
        <w:keepLines w:val="0"/>
        <w:pageBreakBefore w:val="0"/>
        <w:widowControl w:val="0"/>
        <w:suppressLineNumbers w:val="0"/>
        <w:shd w:val="clear" w:fill="FFFFFF"/>
        <w:kinsoku/>
        <w:wordWrap/>
        <w:overflowPunct/>
        <w:topLinePunct w:val="0"/>
        <w:bidi w:val="0"/>
        <w:snapToGrid w:val="0"/>
        <w:spacing w:before="32" w:beforeLines="10" w:beforeAutospacing="0" w:after="0" w:afterAutospacing="0" w:line="264" w:lineRule="auto"/>
        <w:ind w:left="0" w:right="0" w:firstLine="422"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i w:val="0"/>
          <w:caps w:val="0"/>
          <w:color w:val="333333"/>
          <w:spacing w:val="0"/>
          <w:sz w:val="21"/>
          <w:szCs w:val="21"/>
          <w:shd w:val="clear" w:fill="FFFFFF"/>
        </w:rPr>
        <w:t>【参考答案】</w:t>
      </w:r>
    </w:p>
    <w:p>
      <w:pPr>
        <w:pStyle w:val="8"/>
        <w:keepNext w:val="0"/>
        <w:keepLines w:val="0"/>
        <w:pageBreakBefore w:val="0"/>
        <w:widowControl w:val="0"/>
        <w:suppressLineNumbers w:val="0"/>
        <w:shd w:val="clear" w:fill="FFFFFF"/>
        <w:kinsoku/>
        <w:wordWrap/>
        <w:overflowPunct/>
        <w:topLinePunct w:val="0"/>
        <w:autoSpaceDE/>
        <w:autoSpaceDN/>
        <w:bidi w:val="0"/>
        <w:adjustRightInd/>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我们关于推进农村现代化，实现乡村振兴的问题做了讨论，主要内容有：</w:t>
      </w:r>
    </w:p>
    <w:p>
      <w:pPr>
        <w:pStyle w:val="8"/>
        <w:keepNext w:val="0"/>
        <w:keepLines w:val="0"/>
        <w:pageBreakBefore w:val="0"/>
        <w:widowControl w:val="0"/>
        <w:suppressLineNumbers w:val="0"/>
        <w:shd w:val="clear" w:fill="FFFFFF"/>
        <w:kinsoku/>
        <w:wordWrap/>
        <w:overflowPunct/>
        <w:topLinePunct w:val="0"/>
        <w:autoSpaceDE/>
        <w:autoSpaceDN/>
        <w:bidi w:val="0"/>
        <w:adjustRightInd/>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一、农业面临自然和市场双重风险，农民期待更强的政策支持。三农问题事关经济、发展、民生，为此，政府提出多予少取放活、统筹城乡发展、城乡发展一体化等方针，取消农业税、实行农业直接补贴、加强农村基础设施建设、建立农村社会保障体系等举措。</w:t>
      </w:r>
    </w:p>
    <w:p>
      <w:pPr>
        <w:pStyle w:val="8"/>
        <w:keepNext w:val="0"/>
        <w:keepLines w:val="0"/>
        <w:pageBreakBefore w:val="0"/>
        <w:widowControl w:val="0"/>
        <w:suppressLineNumbers w:val="0"/>
        <w:shd w:val="clear" w:fill="FFFFFF"/>
        <w:kinsoku/>
        <w:wordWrap/>
        <w:overflowPunct/>
        <w:topLinePunct w:val="0"/>
        <w:autoSpaceDE/>
        <w:autoSpaceDN/>
        <w:bidi w:val="0"/>
        <w:adjustRightInd/>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二、地方政府的精力和稀缺资源不愿投向农业农村。因此，政府要转变政绩观。坚持农业农村优先发展，领导决策、资金分配、项目安排时向农业农村倾斜；基层干部应落实党的政策。</w:t>
      </w:r>
    </w:p>
    <w:p>
      <w:pPr>
        <w:pStyle w:val="8"/>
        <w:keepNext w:val="0"/>
        <w:keepLines w:val="0"/>
        <w:pageBreakBefore w:val="0"/>
        <w:widowControl w:val="0"/>
        <w:suppressLineNumbers w:val="0"/>
        <w:shd w:val="clear" w:fill="FFFFFF"/>
        <w:kinsoku/>
        <w:wordWrap/>
        <w:overflowPunct/>
        <w:topLinePunct w:val="0"/>
        <w:autoSpaceDE/>
        <w:autoSpaceDN/>
        <w:bidi w:val="0"/>
        <w:adjustRightInd/>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三、城乡之间发展不平衡。因此，要促进城乡资源要素流动；做好生育贫困人口脱贫攻坚，注重提高脱贫质量、夯实长久脱贫基础；继续推动城乡义务教育一体化发展，完善城乡居民基本养老、医疗、大病保险制度，统筹城乡社会救助体系；要以县域为单元，规划好村镇体系，保护传统民居和古村落，建设好长期存续的村庄。</w:t>
      </w:r>
    </w:p>
    <w:p>
      <w:pPr>
        <w:pStyle w:val="8"/>
        <w:keepNext w:val="0"/>
        <w:keepLines w:val="0"/>
        <w:pageBreakBefore w:val="0"/>
        <w:widowControl w:val="0"/>
        <w:suppressLineNumbers w:val="0"/>
        <w:shd w:val="clear" w:fill="FFFFFF"/>
        <w:kinsoku/>
        <w:wordWrap/>
        <w:overflowPunct/>
        <w:topLinePunct w:val="0"/>
        <w:autoSpaceDE/>
        <w:autoSpaceDN/>
        <w:bidi w:val="0"/>
        <w:adjustRightInd/>
        <w:snapToGrid w:val="0"/>
        <w:spacing w:before="32" w:beforeLines="10" w:beforeAutospacing="0" w:after="0" w:afterAutospacing="0" w:line="264" w:lineRule="auto"/>
        <w:ind w:left="0" w:right="0" w:firstLine="420" w:firstLineChars="200"/>
        <w:textAlignment w:val="auto"/>
        <w:rPr>
          <w:rFonts w:hint="eastAsia" w:ascii="宋体" w:hAnsi="宋体" w:eastAsia="宋体" w:cs="宋体"/>
          <w:b w:val="0"/>
          <w:i w:val="0"/>
          <w:caps w:val="0"/>
          <w:color w:val="333333"/>
          <w:spacing w:val="0"/>
          <w:sz w:val="21"/>
          <w:szCs w:val="21"/>
        </w:rPr>
      </w:pPr>
      <w:r>
        <w:rPr>
          <w:rFonts w:hint="eastAsia" w:ascii="宋体" w:hAnsi="宋体" w:eastAsia="宋体" w:cs="宋体"/>
          <w:b w:val="0"/>
          <w:i w:val="0"/>
          <w:caps w:val="0"/>
          <w:color w:val="333333"/>
          <w:spacing w:val="0"/>
          <w:sz w:val="21"/>
          <w:szCs w:val="21"/>
          <w:shd w:val="clear" w:fill="FFFFFF"/>
        </w:rPr>
        <w:t>我们感谢三位嘉宾，也相信相关问题一定会解决。</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2" w:firstLineChars="200"/>
        <w:jc w:val="left"/>
        <w:textAlignment w:val="auto"/>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问题四参考答案：</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【审题及答题思路】</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【给定资料4】介绍了Z 市农村改厕的情况。【资料4 介绍了农村改厕的情况，范围为材料4。】相邻的F 市近期也准备启动农村改厕工程，假设你是F 市有关部门的工作人员，请借鉴Z 市的做法，拟写本市农村改厕工程的工作方案。【借鉴Z 市做法，拟写工作方案，为方案类公文题，重点写对策。】（35 分）要求：（1）内容充实，可操作性强；【有实际操作性，所借鉴经验能直接运用】（2）思路清晰，结构完整；【开头、结尾、正文完整】（3）语言简洁顺畅；【表述精炼，简洁，突出关键词，通顺连贯】（4）篇幅700-800 字。</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【参考答案】</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关于F 市农村改厕工程的工作方案</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为了推进本市农村改厕工程，实现农村无害化卫生厕所全覆盖，本市高度重视，拟将农村厕所改造列为美丽乡村建设的重要项目，特制定如下方案：</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一、加强农村厕所改造</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因地制宜。研究各地改厕模式，召开村民大会，商量确定本地改厕模式。2.出台专项资金管理办法。给予省、市、县三级补贴，各镇、村根据财力制定扶持奖励政策。3.完善设施。安装沼气排放，防止意外；引进生物一体化处理设备，将粪便污水处理为绿化用水；增设控制气味设备，防止反味。配置三格化粪池，及时、定期淘粪。4.严把改厕入口关。采取“统一的招标耗材、施工队伍、施工规范、检查验收”的方式，从物料准备、厕所改造、便器安装等方面实行全程服务。5.完善数据信息。对每户进行编号，将农户信息和编号记录在册并上传到网上，以备后续清淘、修理。</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二、加强后续管护运营</w:t>
      </w: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建立长效机制。建立全面科学改厕管护服务组织，并坚持市场化、社会化运作，因地制宜选择管护模式，对改造后的厕所进行统一管理、收集、运输、无害化处理和资源化利用。2.加强后续管理资金保障。政府补助引导、集体和社会资助、群众自筹相结合，探索多方筹集机制；设立专项资金，激励长效管制运作工作，对设备购置给予财政补助。3.防止二次环境污染，开展资源化利用。鼓励依托合作社或家庭农场注册成立清运公司进行改厕管护清运服务。4.积极宣传。利用广播、电视、报刊、标语等多种形式，促进农民养成讲卫生的好习惯。</w:t>
      </w:r>
    </w:p>
    <w:p>
      <w:pPr>
        <w:keepNext w:val="0"/>
        <w:keepLines w:val="0"/>
        <w:pageBreakBefore w:val="0"/>
        <w:widowControl w:val="0"/>
        <w:kinsoku/>
        <w:wordWrap/>
        <w:overflowPunct/>
        <w:topLinePunct w:val="0"/>
        <w:autoSpaceDE/>
        <w:autoSpaceDN/>
        <w:bidi w:val="0"/>
        <w:adjustRightInd w:val="0"/>
        <w:snapToGrid/>
        <w:spacing w:before="95" w:beforeLines="30" w:beforeAutospacing="0" w:afterAutospacing="0" w:line="288" w:lineRule="auto"/>
        <w:ind w:left="0" w:right="0" w:firstLine="420" w:firstLineChars="200"/>
        <w:jc w:val="center"/>
        <w:textAlignment w:val="auto"/>
        <w:rPr>
          <w:rFonts w:hint="eastAsia" w:ascii="宋体" w:hAnsi="宋体" w:eastAsia="宋体" w:cs="宋体"/>
          <w:sz w:val="21"/>
          <w:szCs w:val="21"/>
          <w:lang w:eastAsia="zh-CN"/>
        </w:rPr>
      </w:pPr>
    </w:p>
    <w:p>
      <w:pPr>
        <w:keepNext w:val="0"/>
        <w:keepLines w:val="0"/>
        <w:pageBreakBefore w:val="0"/>
        <w:widowControl w:val="0"/>
        <w:kinsoku/>
        <w:wordWrap/>
        <w:overflowPunct/>
        <w:topLinePunct w:val="0"/>
        <w:autoSpaceDE w:val="0"/>
        <w:autoSpaceDN w:val="0"/>
        <w:bidi w:val="0"/>
        <w:adjustRightInd w:val="0"/>
        <w:snapToGrid w:val="0"/>
        <w:spacing w:before="32" w:beforeLines="10" w:line="264" w:lineRule="auto"/>
        <w:ind w:firstLine="420" w:firstLineChars="200"/>
        <w:jc w:val="left"/>
        <w:textAlignment w:val="auto"/>
        <w:rPr>
          <w:rFonts w:hint="eastAsia" w:ascii="宋体" w:hAnsi="宋体" w:eastAsia="宋体" w:cs="宋体"/>
          <w:color w:val="000000"/>
          <w:kern w:val="0"/>
          <w:sz w:val="21"/>
          <w:szCs w:val="21"/>
        </w:rPr>
      </w:pPr>
    </w:p>
    <w:sectPr>
      <w:footerReference r:id="rId3" w:type="default"/>
      <w:pgSz w:w="11906" w:h="16838"/>
      <w:pgMar w:top="816" w:right="1236" w:bottom="816" w:left="1236" w:header="397" w:footer="56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KBDOl4QEAALkDAAAOAAAA&#10;AAAAAAEAIAAAAB4BAABkcnMvZTJvRG9jLnhtbFBLBQYAAAAABgAGAFkBAABxBQAAAAA=&#10;">
              <v:fill on="f" focussize="0,0"/>
              <v:stroke on="f"/>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FC41D3"/>
    <w:rsid w:val="0002052A"/>
    <w:rsid w:val="00033337"/>
    <w:rsid w:val="00040AE9"/>
    <w:rsid w:val="00042727"/>
    <w:rsid w:val="00042987"/>
    <w:rsid w:val="00046BAA"/>
    <w:rsid w:val="000529A5"/>
    <w:rsid w:val="000539DD"/>
    <w:rsid w:val="00057133"/>
    <w:rsid w:val="00062F29"/>
    <w:rsid w:val="00064624"/>
    <w:rsid w:val="00070055"/>
    <w:rsid w:val="00081329"/>
    <w:rsid w:val="0008506E"/>
    <w:rsid w:val="0009275A"/>
    <w:rsid w:val="000936AF"/>
    <w:rsid w:val="000B5A47"/>
    <w:rsid w:val="000C086D"/>
    <w:rsid w:val="00137080"/>
    <w:rsid w:val="0015115B"/>
    <w:rsid w:val="001641CE"/>
    <w:rsid w:val="001744E1"/>
    <w:rsid w:val="00187C61"/>
    <w:rsid w:val="001A3420"/>
    <w:rsid w:val="001A38BC"/>
    <w:rsid w:val="001B348A"/>
    <w:rsid w:val="001B7D8F"/>
    <w:rsid w:val="001C3550"/>
    <w:rsid w:val="001C73B3"/>
    <w:rsid w:val="001D0B0B"/>
    <w:rsid w:val="002103F6"/>
    <w:rsid w:val="002264EF"/>
    <w:rsid w:val="0024425D"/>
    <w:rsid w:val="00285C0D"/>
    <w:rsid w:val="00297D6A"/>
    <w:rsid w:val="002C0897"/>
    <w:rsid w:val="002F3E97"/>
    <w:rsid w:val="00301709"/>
    <w:rsid w:val="0030507F"/>
    <w:rsid w:val="00311368"/>
    <w:rsid w:val="003345A7"/>
    <w:rsid w:val="00342D1B"/>
    <w:rsid w:val="00366E2D"/>
    <w:rsid w:val="00371102"/>
    <w:rsid w:val="0039318F"/>
    <w:rsid w:val="003A0C8C"/>
    <w:rsid w:val="003B391E"/>
    <w:rsid w:val="003C5E01"/>
    <w:rsid w:val="003D410B"/>
    <w:rsid w:val="003E40DF"/>
    <w:rsid w:val="00405EF8"/>
    <w:rsid w:val="00420D90"/>
    <w:rsid w:val="0043004B"/>
    <w:rsid w:val="00436C4E"/>
    <w:rsid w:val="00440522"/>
    <w:rsid w:val="00444DC2"/>
    <w:rsid w:val="004A253F"/>
    <w:rsid w:val="004B1F89"/>
    <w:rsid w:val="004C1D5B"/>
    <w:rsid w:val="004C4789"/>
    <w:rsid w:val="004D08B6"/>
    <w:rsid w:val="004D46FC"/>
    <w:rsid w:val="004F5C42"/>
    <w:rsid w:val="005026E2"/>
    <w:rsid w:val="005207C3"/>
    <w:rsid w:val="0055258F"/>
    <w:rsid w:val="0055728E"/>
    <w:rsid w:val="00562412"/>
    <w:rsid w:val="0058777B"/>
    <w:rsid w:val="00595045"/>
    <w:rsid w:val="005B4614"/>
    <w:rsid w:val="005B546A"/>
    <w:rsid w:val="00653881"/>
    <w:rsid w:val="00661354"/>
    <w:rsid w:val="00663364"/>
    <w:rsid w:val="00685E4C"/>
    <w:rsid w:val="00697887"/>
    <w:rsid w:val="006A2F6D"/>
    <w:rsid w:val="006C5B67"/>
    <w:rsid w:val="006D121C"/>
    <w:rsid w:val="006F657C"/>
    <w:rsid w:val="00721C33"/>
    <w:rsid w:val="007561A6"/>
    <w:rsid w:val="00763FB7"/>
    <w:rsid w:val="007809C4"/>
    <w:rsid w:val="00795812"/>
    <w:rsid w:val="007C4D91"/>
    <w:rsid w:val="007E3065"/>
    <w:rsid w:val="007F4184"/>
    <w:rsid w:val="00802A3D"/>
    <w:rsid w:val="008152BB"/>
    <w:rsid w:val="00830D27"/>
    <w:rsid w:val="00835699"/>
    <w:rsid w:val="008717D9"/>
    <w:rsid w:val="00894C30"/>
    <w:rsid w:val="008A6360"/>
    <w:rsid w:val="008C15F8"/>
    <w:rsid w:val="008E4885"/>
    <w:rsid w:val="008E5D5D"/>
    <w:rsid w:val="008F1767"/>
    <w:rsid w:val="00921606"/>
    <w:rsid w:val="009315EA"/>
    <w:rsid w:val="00932689"/>
    <w:rsid w:val="00932C4F"/>
    <w:rsid w:val="00951A82"/>
    <w:rsid w:val="0099503B"/>
    <w:rsid w:val="009A1B1F"/>
    <w:rsid w:val="009A2C9D"/>
    <w:rsid w:val="009B6E0A"/>
    <w:rsid w:val="009C36B1"/>
    <w:rsid w:val="009C39D0"/>
    <w:rsid w:val="009C762F"/>
    <w:rsid w:val="009E23F7"/>
    <w:rsid w:val="009F23BC"/>
    <w:rsid w:val="009F62C1"/>
    <w:rsid w:val="00A0127D"/>
    <w:rsid w:val="00A0731A"/>
    <w:rsid w:val="00A12362"/>
    <w:rsid w:val="00A128FD"/>
    <w:rsid w:val="00A13170"/>
    <w:rsid w:val="00A26EF4"/>
    <w:rsid w:val="00A32839"/>
    <w:rsid w:val="00A378D5"/>
    <w:rsid w:val="00A4427F"/>
    <w:rsid w:val="00A47531"/>
    <w:rsid w:val="00A51BDD"/>
    <w:rsid w:val="00A561D8"/>
    <w:rsid w:val="00A65ED9"/>
    <w:rsid w:val="00A74B8E"/>
    <w:rsid w:val="00AA0036"/>
    <w:rsid w:val="00AB0025"/>
    <w:rsid w:val="00AB44A8"/>
    <w:rsid w:val="00AD70E1"/>
    <w:rsid w:val="00AE19BB"/>
    <w:rsid w:val="00B126A6"/>
    <w:rsid w:val="00B5182B"/>
    <w:rsid w:val="00B5427B"/>
    <w:rsid w:val="00B5470F"/>
    <w:rsid w:val="00B66717"/>
    <w:rsid w:val="00B76E7D"/>
    <w:rsid w:val="00B833E7"/>
    <w:rsid w:val="00B84950"/>
    <w:rsid w:val="00B924B1"/>
    <w:rsid w:val="00B960CD"/>
    <w:rsid w:val="00BB2CA1"/>
    <w:rsid w:val="00BC0B17"/>
    <w:rsid w:val="00BC76ED"/>
    <w:rsid w:val="00BD1727"/>
    <w:rsid w:val="00BD1FED"/>
    <w:rsid w:val="00BD3FBE"/>
    <w:rsid w:val="00BD6E88"/>
    <w:rsid w:val="00BE1C54"/>
    <w:rsid w:val="00BE5806"/>
    <w:rsid w:val="00C05728"/>
    <w:rsid w:val="00C11A9C"/>
    <w:rsid w:val="00C42817"/>
    <w:rsid w:val="00C6566F"/>
    <w:rsid w:val="00C901A5"/>
    <w:rsid w:val="00C90D41"/>
    <w:rsid w:val="00C934E4"/>
    <w:rsid w:val="00CC63FE"/>
    <w:rsid w:val="00CD53F4"/>
    <w:rsid w:val="00CF3918"/>
    <w:rsid w:val="00CF3ED5"/>
    <w:rsid w:val="00D139BB"/>
    <w:rsid w:val="00D14B8A"/>
    <w:rsid w:val="00D322C0"/>
    <w:rsid w:val="00D3612B"/>
    <w:rsid w:val="00D468FF"/>
    <w:rsid w:val="00D53A0E"/>
    <w:rsid w:val="00D5471A"/>
    <w:rsid w:val="00D55EFD"/>
    <w:rsid w:val="00D81264"/>
    <w:rsid w:val="00D817A9"/>
    <w:rsid w:val="00D8751B"/>
    <w:rsid w:val="00D96F79"/>
    <w:rsid w:val="00DA3415"/>
    <w:rsid w:val="00DA3852"/>
    <w:rsid w:val="00DB5188"/>
    <w:rsid w:val="00DC5AEE"/>
    <w:rsid w:val="00DD0DCD"/>
    <w:rsid w:val="00DD59F8"/>
    <w:rsid w:val="00DD7599"/>
    <w:rsid w:val="00DD76DA"/>
    <w:rsid w:val="00DE49D0"/>
    <w:rsid w:val="00E214A3"/>
    <w:rsid w:val="00E27D95"/>
    <w:rsid w:val="00E35750"/>
    <w:rsid w:val="00E53EDC"/>
    <w:rsid w:val="00E63D0C"/>
    <w:rsid w:val="00E66B81"/>
    <w:rsid w:val="00E75951"/>
    <w:rsid w:val="00E76FA0"/>
    <w:rsid w:val="00E93D24"/>
    <w:rsid w:val="00E97C79"/>
    <w:rsid w:val="00EA4A82"/>
    <w:rsid w:val="00EB50FC"/>
    <w:rsid w:val="00ED3D83"/>
    <w:rsid w:val="00F02F72"/>
    <w:rsid w:val="00F04E40"/>
    <w:rsid w:val="00F15538"/>
    <w:rsid w:val="00F46901"/>
    <w:rsid w:val="00F5126A"/>
    <w:rsid w:val="00F536F2"/>
    <w:rsid w:val="00F5747E"/>
    <w:rsid w:val="00F65C7B"/>
    <w:rsid w:val="00F91B2C"/>
    <w:rsid w:val="00FA7DF1"/>
    <w:rsid w:val="00FB00FC"/>
    <w:rsid w:val="00FC41D3"/>
    <w:rsid w:val="00FD2581"/>
    <w:rsid w:val="0B5D224A"/>
    <w:rsid w:val="103546A9"/>
    <w:rsid w:val="141A6862"/>
    <w:rsid w:val="170F4E33"/>
    <w:rsid w:val="18DC16E6"/>
    <w:rsid w:val="24D5281A"/>
    <w:rsid w:val="25861F33"/>
    <w:rsid w:val="27E26DC9"/>
    <w:rsid w:val="28CB5C9F"/>
    <w:rsid w:val="2A3517BB"/>
    <w:rsid w:val="34B718A3"/>
    <w:rsid w:val="373D3138"/>
    <w:rsid w:val="3F6D2010"/>
    <w:rsid w:val="43611783"/>
    <w:rsid w:val="495F1A69"/>
    <w:rsid w:val="4EFC3C7B"/>
    <w:rsid w:val="53D6008D"/>
    <w:rsid w:val="59B83996"/>
    <w:rsid w:val="5BC236F9"/>
    <w:rsid w:val="697F0B59"/>
    <w:rsid w:val="6DA215EE"/>
    <w:rsid w:val="6F5633CA"/>
    <w:rsid w:val="6F5F4792"/>
    <w:rsid w:val="70B92D33"/>
    <w:rsid w:val="726B1A6D"/>
    <w:rsid w:val="76687968"/>
    <w:rsid w:val="77E00D77"/>
    <w:rsid w:val="7B074240"/>
    <w:rsid w:val="7B0A58A6"/>
    <w:rsid w:val="7B630B5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0">
    <w:name w:val="Default Paragraph Font"/>
    <w:unhideWhenUsed/>
    <w:qFormat/>
    <w:uiPriority w:val="1"/>
  </w:style>
  <w:style w:type="table" w:default="1" w:styleId="9">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alloon Text"/>
    <w:basedOn w:val="1"/>
    <w:link w:val="15"/>
    <w:unhideWhenUsed/>
    <w:uiPriority w:val="99"/>
    <w:rPr>
      <w:sz w:val="18"/>
      <w:szCs w:val="18"/>
    </w:rPr>
  </w:style>
  <w:style w:type="paragraph" w:styleId="6">
    <w:name w:val="footer"/>
    <w:basedOn w:val="1"/>
    <w:link w:val="12"/>
    <w:unhideWhenUsed/>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qFormat/>
    <w:uiPriority w:val="22"/>
    <w:rPr>
      <w:b/>
      <w:bCs/>
    </w:rPr>
  </w:style>
  <w:style w:type="character" w:customStyle="1" w:styleId="12">
    <w:name w:val="页脚 Char"/>
    <w:link w:val="6"/>
    <w:qFormat/>
    <w:uiPriority w:val="99"/>
    <w:rPr>
      <w:sz w:val="18"/>
      <w:szCs w:val="18"/>
    </w:rPr>
  </w:style>
  <w:style w:type="character" w:customStyle="1" w:styleId="13">
    <w:name w:val="pull-left"/>
    <w:uiPriority w:val="0"/>
  </w:style>
  <w:style w:type="character" w:customStyle="1" w:styleId="14">
    <w:name w:val="标题 1 字符"/>
    <w:link w:val="2"/>
    <w:qFormat/>
    <w:uiPriority w:val="9"/>
    <w:rPr>
      <w:b/>
      <w:bCs/>
      <w:kern w:val="44"/>
      <w:sz w:val="44"/>
      <w:szCs w:val="44"/>
    </w:rPr>
  </w:style>
  <w:style w:type="character" w:customStyle="1" w:styleId="15">
    <w:name w:val="批注框文本 Char"/>
    <w:link w:val="5"/>
    <w:semiHidden/>
    <w:uiPriority w:val="99"/>
    <w:rPr>
      <w:kern w:val="2"/>
      <w:sz w:val="18"/>
      <w:szCs w:val="18"/>
    </w:rPr>
  </w:style>
  <w:style w:type="character" w:customStyle="1" w:styleId="16">
    <w:name w:val="页眉 字符1"/>
    <w:semiHidden/>
    <w:qFormat/>
    <w:locked/>
    <w:uiPriority w:val="99"/>
    <w:rPr>
      <w:rFonts w:ascii="Calibri" w:hAnsi="Calibri"/>
      <w:kern w:val="2"/>
      <w:sz w:val="18"/>
      <w:szCs w:val="18"/>
    </w:rPr>
  </w:style>
  <w:style w:type="character" w:customStyle="1" w:styleId="17">
    <w:name w:val="页眉 Char"/>
    <w:link w:val="7"/>
    <w:qFormat/>
    <w:uiPriority w:val="99"/>
    <w:rPr>
      <w:sz w:val="18"/>
      <w:szCs w:val="18"/>
    </w:rPr>
  </w:style>
  <w:style w:type="character" w:customStyle="1" w:styleId="18">
    <w:name w:val="标题 2 Char"/>
    <w:link w:val="3"/>
    <w:qFormat/>
    <w:uiPriority w:val="9"/>
    <w:rPr>
      <w:rFonts w:ascii="宋体" w:hAnsi="宋体" w:eastAsia="宋体" w:cs="宋体"/>
      <w:b/>
      <w:bCs/>
      <w:kern w:val="0"/>
      <w:sz w:val="36"/>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9434</Words>
  <Characters>9584</Characters>
  <Lines>70</Lines>
  <Paragraphs>19</Paragraphs>
  <TotalTime>0</TotalTime>
  <ScaleCrop>false</ScaleCrop>
  <LinksUpToDate>false</LinksUpToDate>
  <CharactersWithSpaces>9606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2018-05-25T07:02:00Z</dcterms:created>
  <dc:creator>Administrator</dc:creator>
  <cp:lastModifiedBy>沙鸥汀月</cp:lastModifiedBy>
  <cp:lastPrinted>2016-12-08T08:24:00Z</cp:lastPrinted>
  <dcterms:modified xsi:type="dcterms:W3CDTF">2022-07-11T21:42:55Z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9AA0717478A24BF3932BCF51C1F5E901</vt:lpwstr>
  </property>
</Properties>
</file>